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DEB0" w14:textId="77777777" w:rsidR="00DF7D34" w:rsidRPr="00DF7D34" w:rsidRDefault="00DF7D34" w:rsidP="00DF7D34">
      <w:pPr>
        <w:rPr>
          <w:lang w:val="de-DE"/>
        </w:rPr>
      </w:pPr>
      <w:r w:rsidRPr="00DF7D34">
        <w:rPr>
          <w:lang w:val="de-DE"/>
        </w:rPr>
        <w:t>Partei</w:t>
      </w:r>
      <w:r w:rsidRPr="00DF7D34">
        <w:rPr>
          <w:lang w:val="de-DE"/>
        </w:rPr>
        <w:softHyphen/>
        <w:t>verbot</w:t>
      </w:r>
    </w:p>
    <w:p w14:paraId="00D00627" w14:textId="2BDECB8D" w:rsidR="00DF7D34" w:rsidRPr="00DF7D34" w:rsidRDefault="00DF7D34" w:rsidP="00DF7D34">
      <w:pPr>
        <w:rPr>
          <w:lang w:val="de-DE"/>
        </w:rPr>
      </w:pPr>
      <w:r w:rsidRPr="00DF7D34">
        <w:rPr>
          <w:lang w:val="de-DE"/>
        </w:rPr>
        <w:t> Die Bundesrepublik Deutschland ist eine wehrhafte Demokratie. Zum Schutz unseres freiheitlichen Gesellschaftsmodells erlaubt das Grundgesetz die Bekämpfung von Parteien, die diese Freiheit beseitigen wollen.</w:t>
      </w:r>
    </w:p>
    <w:p w14:paraId="4788AF61" w14:textId="77777777" w:rsidR="00DF7D34" w:rsidRPr="00DF7D34" w:rsidRDefault="00DF7D34" w:rsidP="00DF7D34">
      <w:pPr>
        <w:rPr>
          <w:lang w:val="de-DE"/>
        </w:rPr>
      </w:pPr>
      <w:r w:rsidRPr="00DF7D34">
        <w:rPr>
          <w:lang w:val="de-DE"/>
        </w:rPr>
        <w:t>Nach Art. 21 Abs. 2 Grundgesetz (GG) sind </w:t>
      </w:r>
      <w:hyperlink r:id="rId4" w:anchor="doc9398246" w:tgtFrame="_blank" w:tooltip="Verlinkung zu dem Glossarbegriff &quot;Parteien&quot; (Öffnet neues Fenster)" w:history="1">
        <w:r w:rsidRPr="00DF7D34">
          <w:rPr>
            <w:rStyle w:val="Hipervnculo"/>
            <w:lang w:val="de-DE"/>
          </w:rPr>
          <w:t>Parteien</w:t>
        </w:r>
      </w:hyperlink>
      <w:r w:rsidRPr="00DF7D34">
        <w:rPr>
          <w:lang w:val="de-DE"/>
        </w:rPr>
        <w:t> verfassungswidrig, die nach ihren Zielen oder nach dem Verhalten ihrer Anhänger darauf ausgehen, die freiheitliche demokratische Grundordnung zu beeinträchtigen oder zu beseitigen oder den Bestand der Bundesrepublik Deutschland zu gefährden. Sie können durch das Bundesverfassungsgericht verboten werden.</w:t>
      </w:r>
    </w:p>
    <w:p w14:paraId="61BCF255" w14:textId="77777777" w:rsidR="00DF7D34" w:rsidRPr="00DF7D34" w:rsidRDefault="00DF7D34" w:rsidP="00DF7D34">
      <w:pPr>
        <w:rPr>
          <w:lang w:val="de-DE"/>
        </w:rPr>
      </w:pPr>
      <w:r w:rsidRPr="00DF7D34">
        <w:rPr>
          <w:lang w:val="de-DE"/>
        </w:rPr>
        <w:t>Voraussetzungen für ein Partei</w:t>
      </w:r>
      <w:r w:rsidRPr="00DF7D34">
        <w:rPr>
          <w:lang w:val="de-DE"/>
        </w:rPr>
        <w:softHyphen/>
        <w:t>verbot</w:t>
      </w:r>
    </w:p>
    <w:p w14:paraId="09C1A443" w14:textId="65CEF68E" w:rsidR="00DF7D34" w:rsidRPr="00DF7D34" w:rsidRDefault="00DF7D34" w:rsidP="00DF7D34">
      <w:pPr>
        <w:rPr>
          <w:lang w:val="de-DE"/>
        </w:rPr>
      </w:pPr>
      <w:r w:rsidRPr="00DF7D34">
        <w:rPr>
          <w:b/>
          <w:bCs/>
          <w:lang w:val="de-DE"/>
        </w:rPr>
        <w:t>Gesetzliche GrundlagenGrundgesetz für die Bundesrepublik Deutschland</w:t>
      </w:r>
    </w:p>
    <w:p w14:paraId="4C4D1F99" w14:textId="266A3616" w:rsidR="00DF7D34" w:rsidRPr="00DF7D34" w:rsidRDefault="00DF7D34" w:rsidP="00DF7D34">
      <w:pPr>
        <w:rPr>
          <w:lang w:val="de-DE"/>
        </w:rPr>
      </w:pPr>
      <w:r w:rsidRPr="00DF7D34">
        <w:rPr>
          <w:b/>
          <w:bCs/>
          <w:lang w:val="de-DE"/>
        </w:rPr>
        <w:t>Parteien</w:t>
      </w:r>
      <w:r w:rsidRPr="00DF7D34">
        <w:rPr>
          <w:b/>
          <w:bCs/>
          <w:lang w:val="de-DE"/>
        </w:rPr>
        <w:softHyphen/>
        <w:t>gesetz (PartG)</w:t>
      </w:r>
    </w:p>
    <w:p w14:paraId="45C21BA8" w14:textId="77777777" w:rsidR="00DF7D34" w:rsidRPr="00DF7D34" w:rsidRDefault="00DF7D34" w:rsidP="00DF7D34">
      <w:pPr>
        <w:rPr>
          <w:lang w:val="de-DE"/>
        </w:rPr>
      </w:pPr>
      <w:r w:rsidRPr="00DF7D34">
        <w:rPr>
          <w:lang w:val="de-DE"/>
        </w:rPr>
        <w:t>Eine Partei kann nur dann verboten werden, wenn sie nicht nur eine verfassungsfeindliche Haltung vertritt, sondern diese Haltung auch in aktiv-kämpferischer, aggressiver Weise umsetzen will. Für ein </w:t>
      </w:r>
      <w:hyperlink r:id="rId5" w:anchor="doc9398250" w:tgtFrame="_blank" w:tooltip="Verlinkung zu dem Glossarbegriff &quot;Parteiverbot&quot; (Öffnet neues Fenster)" w:history="1">
        <w:r w:rsidRPr="00DF7D34">
          <w:rPr>
            <w:rStyle w:val="Hipervnculo"/>
            <w:lang w:val="de-DE"/>
          </w:rPr>
          <w:t>Parteiverbot</w:t>
        </w:r>
      </w:hyperlink>
      <w:r w:rsidRPr="00DF7D34">
        <w:rPr>
          <w:lang w:val="de-DE"/>
        </w:rPr>
        <w:t> genügt es also nicht, dass oberste Verfassungswerte in der politischen Meinungsäußerung in Zweifel gezogen, nicht anerkannt, abgelehnt oder ihnen andere entgegengesetzt werden. Die Partei muss vielmehr planvoll das Funktionieren der freiheitlichen demokratischen Grundordnung beseitigen wollen. Dies setzt voraus, dass konkrete, gewichtige Anhaltspunkte vorliegen, die es zumindest möglich erscheinen lassen, dass das Handeln der Partei erfolgreich sein kann.</w:t>
      </w:r>
    </w:p>
    <w:p w14:paraId="42ABC529" w14:textId="77777777" w:rsidR="00DF7D34" w:rsidRPr="00DF7D34" w:rsidRDefault="00DF7D34" w:rsidP="00DF7D34">
      <w:pPr>
        <w:rPr>
          <w:lang w:val="de-DE"/>
        </w:rPr>
      </w:pPr>
      <w:r w:rsidRPr="00DF7D34">
        <w:rPr>
          <w:lang w:val="de-DE"/>
        </w:rPr>
        <w:t>Eine Partei kann nicht wie ein Verein durch Verbotsverfügung des zuständigen Bundesinnenministers oder Landesinnenministers verboten werden. Dies kann nur das Bundesverfassungsgericht durch Urteil tun (Art. 21 Abs. 2 Satz 2 GG). Diese besondere formale Anforderung an ein Parteiverbot (sogenanntes Parteienprivileg) schützt den offenen Wettbewerb der politischen Parteien und Programme. Es wäre mit unserem Demokratieverständnis nicht vereinbar, wenn zum Beispiel die Mehrheitsparteien andere Parteien verbieten und sich so missliebiger politischer Konkurrenz entledigen könnten.</w:t>
      </w:r>
    </w:p>
    <w:p w14:paraId="52B79A86" w14:textId="77777777" w:rsidR="00DF7D34" w:rsidRDefault="00DF7D34" w:rsidP="00DF7D34">
      <w:pPr>
        <w:rPr>
          <w:lang w:val="de-DE"/>
        </w:rPr>
      </w:pPr>
      <w:r w:rsidRPr="00DF7D34">
        <w:rPr>
          <w:lang w:val="de-DE"/>
        </w:rPr>
        <w:t>Bundestag, Bundesrat oder Bundesregierung wiederum sind als einzige Verfassungsorgane berechtigt, einen entsprechenden Antrag auf den Ausspruch eines Parteiverbots zu stellen. Nur bei einer Partei, deren Organisation sich auf das Gebiet eines (Bundes-)Landes beschränkt, ist auch die Landesregierung des betreffenden Landes antragsbefugt (§ 43 des Bundesverfassungsgerichtsgesetzes). Die Entscheidung, ob ein Verbotsantrag gestellt werden soll, liegt im (politischen) Ermessen der Antragsberechtigten.</w:t>
      </w:r>
    </w:p>
    <w:p w14:paraId="7397C451" w14:textId="6B0AD919" w:rsidR="00B61AEC" w:rsidRDefault="00B61AEC" w:rsidP="00DF7D34">
      <w:pPr>
        <w:rPr>
          <w:lang w:val="de-DE"/>
        </w:rPr>
      </w:pPr>
      <w:r>
        <w:rPr>
          <w:lang w:val="de-DE"/>
        </w:rPr>
        <w:t>zB.</w:t>
      </w:r>
    </w:p>
    <w:p w14:paraId="703F568D" w14:textId="21C90223" w:rsidR="00B61AEC" w:rsidRDefault="00B61AEC" w:rsidP="00DF7D34">
      <w:pPr>
        <w:rPr>
          <w:lang w:val="de-DE"/>
        </w:rPr>
      </w:pPr>
      <w:r w:rsidRPr="00B61AEC">
        <w:rPr>
          <w:lang w:val="de-DE"/>
        </w:rPr>
        <w:t>Die Nationaldemokratische Partei Deutschlands (NPD) ist nicht verboten, obwohl das Bundesverfassungsgericht sie als verfassungsfeindlich eingestuft hat. Ein Verbotsantrag des Bundesrates wurde vom Gericht abgewiesen, da die NPD nach Ansicht des Gerichts nicht schlagkräftig genug ist, um die freiheitlich-demokratische Grundordnung ernsthaft zu gefährden</w:t>
      </w:r>
    </w:p>
    <w:p w14:paraId="1688E384" w14:textId="261A57A6" w:rsidR="001D5540" w:rsidRPr="001D5540" w:rsidRDefault="001D5540" w:rsidP="001D5540">
      <w:pPr>
        <w:rPr>
          <w:b/>
          <w:bCs/>
          <w:lang w:val="de-DE"/>
        </w:rPr>
      </w:pPr>
      <w:r>
        <w:rPr>
          <w:lang w:val="de-DE"/>
        </w:rPr>
        <w:t xml:space="preserve">Bisherige Verfahren: </w:t>
      </w:r>
    </w:p>
    <w:p w14:paraId="1C8CF102" w14:textId="77777777" w:rsidR="001D5540" w:rsidRDefault="001D5540" w:rsidP="001D5540">
      <w:pPr>
        <w:rPr>
          <w:lang w:val="de-DE"/>
        </w:rPr>
      </w:pPr>
      <w:r w:rsidRPr="001D5540">
        <w:rPr>
          <w:lang w:val="de-DE"/>
        </w:rPr>
        <w:t xml:space="preserve">Zweimal hat das Bundesverfassungsgericht bislang ein Parteiverbot ausgesprochen: 1952 wurde die Sozialistische Reichspartei (SRP) verboten und 1956 die Kommunistischen Partei </w:t>
      </w:r>
      <w:r w:rsidRPr="001D5540">
        <w:rPr>
          <w:lang w:val="de-DE"/>
        </w:rPr>
        <w:lastRenderedPageBreak/>
        <w:t>Deutschlands (KPD). Ein 2001 gegen die Nationaldemokratische Partei Deutschlands (NPD) eingeleitetes Verbotsverfahren wurde 2003 aus verfahrensrechtlichen Gründen eingestellt. Am 17. Januar 2017 entschied das Bundesverfassungsgericht erneut über ein Verbot der NPD. Dabei stellte der Zweite Senat zwar fest, dass die NPD ein auf Beseitigung der bestehenden freiheitlichen demokratischen Grundordnung gerichtetes politisches Konzept vertritt. Wegen fehlender Anhaltspunkte für eine erfolgreiche Durchsetzung ihrer politischen Ziele wurde die Partei jedoch nicht verboten.</w:t>
      </w:r>
    </w:p>
    <w:p w14:paraId="534CEC27" w14:textId="77777777" w:rsidR="001D5540" w:rsidRDefault="001D5540" w:rsidP="001D5540">
      <w:pPr>
        <w:rPr>
          <w:lang w:val="de-DE"/>
        </w:rPr>
      </w:pPr>
    </w:p>
    <w:p w14:paraId="7E384522" w14:textId="77777777" w:rsidR="001D5540" w:rsidRPr="001D5540" w:rsidRDefault="001D5540" w:rsidP="001D5540">
      <w:pPr>
        <w:rPr>
          <w:lang w:val="de-DE"/>
        </w:rPr>
      </w:pPr>
    </w:p>
    <w:p w14:paraId="53107A51" w14:textId="77777777" w:rsidR="001D5540" w:rsidRPr="00B61AEC" w:rsidRDefault="001D5540" w:rsidP="00DF7D34">
      <w:pPr>
        <w:rPr>
          <w:lang w:val="de-DE"/>
        </w:rPr>
      </w:pPr>
    </w:p>
    <w:p w14:paraId="5B90BF81" w14:textId="77777777" w:rsidR="006A33EC" w:rsidRPr="00DF7D34" w:rsidRDefault="006A33EC">
      <w:pPr>
        <w:rPr>
          <w:lang w:val="de-DE"/>
        </w:rPr>
      </w:pPr>
    </w:p>
    <w:sectPr w:rsidR="006A33EC" w:rsidRPr="00DF7D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34"/>
    <w:rsid w:val="001D5540"/>
    <w:rsid w:val="00460F0D"/>
    <w:rsid w:val="004D6C17"/>
    <w:rsid w:val="005120C2"/>
    <w:rsid w:val="006A33EC"/>
    <w:rsid w:val="00750823"/>
    <w:rsid w:val="00B61AEC"/>
    <w:rsid w:val="00DF7D34"/>
    <w:rsid w:val="00E427E5"/>
    <w:rsid w:val="00F705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790B"/>
  <w15:chartTrackingRefBased/>
  <w15:docId w15:val="{9FDB2BDA-778B-4EA8-A782-EA96F893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D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DF7D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F7D3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F7D3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F7D3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F7D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7D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7D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7D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D3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DF7D3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F7D3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F7D3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F7D3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F7D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7D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7D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7D34"/>
    <w:rPr>
      <w:rFonts w:eastAsiaTheme="majorEastAsia" w:cstheme="majorBidi"/>
      <w:color w:val="272727" w:themeColor="text1" w:themeTint="D8"/>
    </w:rPr>
  </w:style>
  <w:style w:type="paragraph" w:styleId="Ttulo">
    <w:name w:val="Title"/>
    <w:basedOn w:val="Normal"/>
    <w:next w:val="Normal"/>
    <w:link w:val="TtuloCar"/>
    <w:uiPriority w:val="10"/>
    <w:qFormat/>
    <w:rsid w:val="00DF7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7D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7D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7D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7D34"/>
    <w:pPr>
      <w:spacing w:before="160"/>
      <w:jc w:val="center"/>
    </w:pPr>
    <w:rPr>
      <w:i/>
      <w:iCs/>
      <w:color w:val="404040" w:themeColor="text1" w:themeTint="BF"/>
    </w:rPr>
  </w:style>
  <w:style w:type="character" w:customStyle="1" w:styleId="CitaCar">
    <w:name w:val="Cita Car"/>
    <w:basedOn w:val="Fuentedeprrafopredeter"/>
    <w:link w:val="Cita"/>
    <w:uiPriority w:val="29"/>
    <w:rsid w:val="00DF7D34"/>
    <w:rPr>
      <w:i/>
      <w:iCs/>
      <w:color w:val="404040" w:themeColor="text1" w:themeTint="BF"/>
    </w:rPr>
  </w:style>
  <w:style w:type="paragraph" w:styleId="Prrafodelista">
    <w:name w:val="List Paragraph"/>
    <w:basedOn w:val="Normal"/>
    <w:uiPriority w:val="34"/>
    <w:qFormat/>
    <w:rsid w:val="00DF7D34"/>
    <w:pPr>
      <w:ind w:left="720"/>
      <w:contextualSpacing/>
    </w:pPr>
  </w:style>
  <w:style w:type="character" w:styleId="nfasisintenso">
    <w:name w:val="Intense Emphasis"/>
    <w:basedOn w:val="Fuentedeprrafopredeter"/>
    <w:uiPriority w:val="21"/>
    <w:qFormat/>
    <w:rsid w:val="00DF7D34"/>
    <w:rPr>
      <w:i/>
      <w:iCs/>
      <w:color w:val="2F5496" w:themeColor="accent1" w:themeShade="BF"/>
    </w:rPr>
  </w:style>
  <w:style w:type="paragraph" w:styleId="Citadestacada">
    <w:name w:val="Intense Quote"/>
    <w:basedOn w:val="Normal"/>
    <w:next w:val="Normal"/>
    <w:link w:val="CitadestacadaCar"/>
    <w:uiPriority w:val="30"/>
    <w:qFormat/>
    <w:rsid w:val="00DF7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F7D34"/>
    <w:rPr>
      <w:i/>
      <w:iCs/>
      <w:color w:val="2F5496" w:themeColor="accent1" w:themeShade="BF"/>
    </w:rPr>
  </w:style>
  <w:style w:type="character" w:styleId="Referenciaintensa">
    <w:name w:val="Intense Reference"/>
    <w:basedOn w:val="Fuentedeprrafopredeter"/>
    <w:uiPriority w:val="32"/>
    <w:qFormat/>
    <w:rsid w:val="00DF7D34"/>
    <w:rPr>
      <w:b/>
      <w:bCs/>
      <w:smallCaps/>
      <w:color w:val="2F5496" w:themeColor="accent1" w:themeShade="BF"/>
      <w:spacing w:val="5"/>
    </w:rPr>
  </w:style>
  <w:style w:type="character" w:styleId="Hipervnculo">
    <w:name w:val="Hyperlink"/>
    <w:basedOn w:val="Fuentedeprrafopredeter"/>
    <w:uiPriority w:val="99"/>
    <w:unhideWhenUsed/>
    <w:rsid w:val="00DF7D34"/>
    <w:rPr>
      <w:color w:val="0563C1" w:themeColor="hyperlink"/>
      <w:u w:val="single"/>
    </w:rPr>
  </w:style>
  <w:style w:type="character" w:styleId="Mencinsinresolver">
    <w:name w:val="Unresolved Mention"/>
    <w:basedOn w:val="Fuentedeprrafopredeter"/>
    <w:uiPriority w:val="99"/>
    <w:semiHidden/>
    <w:unhideWhenUsed/>
    <w:rsid w:val="00DF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5023">
      <w:bodyDiv w:val="1"/>
      <w:marLeft w:val="0"/>
      <w:marRight w:val="0"/>
      <w:marTop w:val="0"/>
      <w:marBottom w:val="0"/>
      <w:divBdr>
        <w:top w:val="none" w:sz="0" w:space="0" w:color="auto"/>
        <w:left w:val="none" w:sz="0" w:space="0" w:color="auto"/>
        <w:bottom w:val="none" w:sz="0" w:space="0" w:color="auto"/>
        <w:right w:val="none" w:sz="0" w:space="0" w:color="auto"/>
      </w:divBdr>
    </w:div>
    <w:div w:id="722678224">
      <w:bodyDiv w:val="1"/>
      <w:marLeft w:val="0"/>
      <w:marRight w:val="0"/>
      <w:marTop w:val="0"/>
      <w:marBottom w:val="0"/>
      <w:divBdr>
        <w:top w:val="none" w:sz="0" w:space="0" w:color="auto"/>
        <w:left w:val="none" w:sz="0" w:space="0" w:color="auto"/>
        <w:bottom w:val="none" w:sz="0" w:space="0" w:color="auto"/>
        <w:right w:val="none" w:sz="0" w:space="0" w:color="auto"/>
      </w:divBdr>
      <w:divsChild>
        <w:div w:id="1706981939">
          <w:marLeft w:val="-225"/>
          <w:marRight w:val="-225"/>
          <w:marTop w:val="0"/>
          <w:marBottom w:val="0"/>
          <w:divBdr>
            <w:top w:val="none" w:sz="0" w:space="0" w:color="auto"/>
            <w:left w:val="none" w:sz="0" w:space="0" w:color="auto"/>
            <w:bottom w:val="none" w:sz="0" w:space="0" w:color="auto"/>
            <w:right w:val="none" w:sz="0" w:space="0" w:color="auto"/>
          </w:divBdr>
          <w:divsChild>
            <w:div w:id="1870489929">
              <w:marLeft w:val="0"/>
              <w:marRight w:val="0"/>
              <w:marTop w:val="0"/>
              <w:marBottom w:val="750"/>
              <w:divBdr>
                <w:top w:val="none" w:sz="0" w:space="0" w:color="auto"/>
                <w:left w:val="none" w:sz="0" w:space="0" w:color="auto"/>
                <w:bottom w:val="none" w:sz="0" w:space="0" w:color="auto"/>
                <w:right w:val="none" w:sz="0" w:space="0" w:color="auto"/>
              </w:divBdr>
            </w:div>
            <w:div w:id="1253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6833">
      <w:bodyDiv w:val="1"/>
      <w:marLeft w:val="0"/>
      <w:marRight w:val="0"/>
      <w:marTop w:val="0"/>
      <w:marBottom w:val="0"/>
      <w:divBdr>
        <w:top w:val="none" w:sz="0" w:space="0" w:color="auto"/>
        <w:left w:val="none" w:sz="0" w:space="0" w:color="auto"/>
        <w:bottom w:val="none" w:sz="0" w:space="0" w:color="auto"/>
        <w:right w:val="none" w:sz="0" w:space="0" w:color="auto"/>
      </w:divBdr>
    </w:div>
    <w:div w:id="1119764570">
      <w:bodyDiv w:val="1"/>
      <w:marLeft w:val="0"/>
      <w:marRight w:val="0"/>
      <w:marTop w:val="0"/>
      <w:marBottom w:val="0"/>
      <w:divBdr>
        <w:top w:val="none" w:sz="0" w:space="0" w:color="auto"/>
        <w:left w:val="none" w:sz="0" w:space="0" w:color="auto"/>
        <w:bottom w:val="none" w:sz="0" w:space="0" w:color="auto"/>
        <w:right w:val="none" w:sz="0" w:space="0" w:color="auto"/>
      </w:divBdr>
      <w:divsChild>
        <w:div w:id="1975141209">
          <w:marLeft w:val="-225"/>
          <w:marRight w:val="-225"/>
          <w:marTop w:val="0"/>
          <w:marBottom w:val="0"/>
          <w:divBdr>
            <w:top w:val="none" w:sz="0" w:space="0" w:color="auto"/>
            <w:left w:val="none" w:sz="0" w:space="0" w:color="auto"/>
            <w:bottom w:val="none" w:sz="0" w:space="0" w:color="auto"/>
            <w:right w:val="none" w:sz="0" w:space="0" w:color="auto"/>
          </w:divBdr>
          <w:divsChild>
            <w:div w:id="556820687">
              <w:marLeft w:val="0"/>
              <w:marRight w:val="0"/>
              <w:marTop w:val="0"/>
              <w:marBottom w:val="750"/>
              <w:divBdr>
                <w:top w:val="none" w:sz="0" w:space="0" w:color="auto"/>
                <w:left w:val="none" w:sz="0" w:space="0" w:color="auto"/>
                <w:bottom w:val="none" w:sz="0" w:space="0" w:color="auto"/>
                <w:right w:val="none" w:sz="0" w:space="0" w:color="auto"/>
              </w:divBdr>
            </w:div>
            <w:div w:id="20740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mi.bund.de/DE/service/lexikon/functions/bmi-lexikon.html?lv2=9391090&amp;lv3=9398250" TargetMode="External"/><Relationship Id="rId4" Type="http://schemas.openxmlformats.org/officeDocument/2006/relationships/hyperlink" Target="https://www.bmi.bund.de/DE/service/lexikon/functions/bmi-lexikon.html?lv2=9391090&amp;lv3=93982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Heilmann</dc:creator>
  <cp:keywords/>
  <dc:description/>
  <cp:lastModifiedBy>Inga Heilmann</cp:lastModifiedBy>
  <cp:revision>3</cp:revision>
  <dcterms:created xsi:type="dcterms:W3CDTF">2025-06-04T22:43:00Z</dcterms:created>
  <dcterms:modified xsi:type="dcterms:W3CDTF">2025-06-06T18:54:00Z</dcterms:modified>
</cp:coreProperties>
</file>