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jc w:val="center"/>
        <w:tblCellSpacing w:w="0" w:type="dxa"/>
        <w:tblCellMar>
          <w:left w:w="0" w:type="dxa"/>
          <w:right w:w="0" w:type="dxa"/>
        </w:tblCellMar>
        <w:tblLook w:val="04A0"/>
      </w:tblPr>
      <w:tblGrid>
        <w:gridCol w:w="907"/>
        <w:gridCol w:w="2453"/>
        <w:gridCol w:w="1280"/>
        <w:gridCol w:w="1360"/>
      </w:tblGrid>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Número</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Sede</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Importancia</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Tipo</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439/2012</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Tribunal Apelaciones Trabajo 1ºT</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MEDIA</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DEFINITIVA</w:t>
            </w:r>
          </w:p>
        </w:tc>
      </w:tr>
    </w:tbl>
    <w:p w:rsidR="00CE2864" w:rsidRPr="00CE2864" w:rsidRDefault="00CE2864" w:rsidP="00CE2864">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1721"/>
        <w:gridCol w:w="1930"/>
        <w:gridCol w:w="2349"/>
      </w:tblGrid>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Fecha</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Ficha</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Procedimiento</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10/10/2012</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2-1537/2012</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OTROS</w:t>
            </w:r>
          </w:p>
        </w:tc>
      </w:tr>
    </w:tbl>
    <w:p w:rsidR="00CE2864" w:rsidRPr="00CE2864" w:rsidRDefault="00CE2864" w:rsidP="00CE2864">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567"/>
        <w:gridCol w:w="2433"/>
      </w:tblGrid>
      <w:tr w:rsidR="00CE2864" w:rsidRPr="00CE2864" w:rsidTr="00CE2864">
        <w:trPr>
          <w:tblHeader/>
          <w:tblCellSpacing w:w="0" w:type="dxa"/>
          <w:jc w:val="center"/>
        </w:trPr>
        <w:tc>
          <w:tcPr>
            <w:tcW w:w="0" w:type="auto"/>
            <w:gridSpan w:val="2"/>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Materias</w:t>
            </w:r>
          </w:p>
        </w:tc>
      </w:tr>
      <w:tr w:rsidR="00CE2864" w:rsidRPr="00CE2864" w:rsidTr="00CE2864">
        <w:trPr>
          <w:tblCellSpacing w:w="0" w:type="dxa"/>
          <w:jc w:val="center"/>
        </w:trPr>
        <w:tc>
          <w:tcPr>
            <w:tcW w:w="0" w:type="auto"/>
            <w:gridSpan w:val="2"/>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DERECHO LABORAL</w:t>
            </w:r>
          </w:p>
        </w:tc>
      </w:tr>
      <w:tr w:rsidR="00CE2864" w:rsidRPr="00CE2864" w:rsidTr="00CE2864">
        <w:trPr>
          <w:tblHeader/>
          <w:tblCellSpacing w:w="0" w:type="dxa"/>
          <w:jc w:val="center"/>
        </w:trPr>
        <w:tc>
          <w:tcPr>
            <w:tcW w:w="0" w:type="auto"/>
            <w:gridSpan w:val="2"/>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Firmantes</w:t>
            </w:r>
          </w:p>
        </w:tc>
      </w:tr>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Nombre</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Cargo</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Dra. Doris Perla MORALES MARTINEZ</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Trib.Apela.</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Dra. Rita Beatriz PATRON BETANCOR</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Trib.Apela.(Supl)</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 Julio Alfredo POSADA XAVIER</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Trib.Apela.</w:t>
            </w:r>
          </w:p>
        </w:tc>
      </w:tr>
    </w:tbl>
    <w:p w:rsidR="00CE2864" w:rsidRPr="00CE2864" w:rsidRDefault="00CE2864" w:rsidP="00CE2864">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74"/>
        <w:gridCol w:w="2126"/>
      </w:tblGrid>
      <w:tr w:rsidR="00CE2864" w:rsidRPr="00CE2864" w:rsidTr="00CE2864">
        <w:trPr>
          <w:tblHeader/>
          <w:tblCellSpacing w:w="0" w:type="dxa"/>
          <w:jc w:val="center"/>
        </w:trPr>
        <w:tc>
          <w:tcPr>
            <w:tcW w:w="0" w:type="auto"/>
            <w:gridSpan w:val="2"/>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Redactores</w:t>
            </w:r>
          </w:p>
        </w:tc>
      </w:tr>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Nombre</w:t>
            </w:r>
          </w:p>
        </w:tc>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Cargo</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 Julio Alfredo POSADA XAVIER</w:t>
            </w: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Trib.Apela.</w:t>
            </w:r>
          </w:p>
        </w:tc>
      </w:tr>
    </w:tbl>
    <w:p w:rsidR="00CE2864" w:rsidRPr="00CE2864" w:rsidRDefault="00CE2864" w:rsidP="00CE2864">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1293"/>
      </w:tblGrid>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Descriptores</w:t>
            </w:r>
          </w:p>
        </w:tc>
      </w:tr>
      <w:tr w:rsidR="00CE2864" w:rsidRPr="00CE2864" w:rsidTr="00CE2864">
        <w:trPr>
          <w:tblCellSpacing w:w="0"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p>
        </w:tc>
      </w:tr>
    </w:tbl>
    <w:p w:rsidR="00CE2864" w:rsidRPr="00CE2864" w:rsidRDefault="00CE2864" w:rsidP="00CE2864">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8504"/>
      </w:tblGrid>
      <w:tr w:rsidR="00CE2864" w:rsidRPr="00CE2864" w:rsidTr="00CE2864">
        <w:trPr>
          <w:tblHeader/>
          <w:tblCellSpacing w:w="0" w:type="dxa"/>
          <w:jc w:val="center"/>
        </w:trPr>
        <w:tc>
          <w:tcPr>
            <w:tcW w:w="0" w:type="auto"/>
            <w:vAlign w:val="center"/>
            <w:hideMark/>
          </w:tcPr>
          <w:p w:rsidR="00CE2864" w:rsidRPr="00CE2864" w:rsidRDefault="00CE2864" w:rsidP="00CE2864">
            <w:pPr>
              <w:spacing w:after="0" w:line="240" w:lineRule="auto"/>
              <w:jc w:val="center"/>
              <w:rPr>
                <w:rFonts w:ascii="Times New Roman" w:eastAsia="Times New Roman" w:hAnsi="Times New Roman" w:cs="Times New Roman"/>
                <w:b/>
                <w:bCs/>
                <w:sz w:val="24"/>
                <w:szCs w:val="24"/>
                <w:lang w:eastAsia="es-UY"/>
              </w:rPr>
            </w:pPr>
            <w:r w:rsidRPr="00CE2864">
              <w:rPr>
                <w:rFonts w:ascii="Times New Roman" w:eastAsia="Times New Roman" w:hAnsi="Times New Roman" w:cs="Times New Roman"/>
                <w:b/>
                <w:bCs/>
                <w:sz w:val="24"/>
                <w:szCs w:val="24"/>
                <w:lang w:eastAsia="es-UY"/>
              </w:rPr>
              <w:t>Resumen</w:t>
            </w:r>
          </w:p>
        </w:tc>
      </w:tr>
      <w:tr w:rsidR="00CE2864" w:rsidRPr="00CE2864" w:rsidTr="00CE2864">
        <w:trPr>
          <w:tblCellSpacing w:w="0" w:type="dxa"/>
          <w:jc w:val="center"/>
        </w:trPr>
        <w:tc>
          <w:tcPr>
            <w:tcW w:w="0" w:type="auto"/>
            <w:vAlign w:val="center"/>
            <w:hideMark/>
          </w:tcPr>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DEMANDA LABORAL. REVOCA LA RESOLUCION RECURRIDA Y CONFIRMA LA SENTENCIA DEFINITIVA.</w:t>
            </w:r>
          </w:p>
        </w:tc>
      </w:tr>
    </w:tbl>
    <w:p w:rsidR="00CE2864" w:rsidRPr="00CE2864" w:rsidRDefault="00CE2864" w:rsidP="00CE2864">
      <w:pPr>
        <w:spacing w:after="0" w:line="240" w:lineRule="auto"/>
        <w:jc w:val="center"/>
        <w:rPr>
          <w:rFonts w:ascii="Times New Roman" w:eastAsia="Times New Roman" w:hAnsi="Times New Roman" w:cs="Times New Roman"/>
          <w:vanish/>
          <w:sz w:val="24"/>
          <w:szCs w:val="24"/>
          <w:lang w:eastAsia="es-UY"/>
        </w:rPr>
      </w:pPr>
    </w:p>
    <w:tbl>
      <w:tblPr>
        <w:tblW w:w="0" w:type="auto"/>
        <w:jc w:val="center"/>
        <w:tblCellSpacing w:w="15" w:type="dxa"/>
        <w:tblCellMar>
          <w:top w:w="15" w:type="dxa"/>
          <w:left w:w="15" w:type="dxa"/>
          <w:bottom w:w="15" w:type="dxa"/>
          <w:right w:w="15" w:type="dxa"/>
        </w:tblCellMar>
        <w:tblLook w:val="04A0"/>
      </w:tblPr>
      <w:tblGrid>
        <w:gridCol w:w="81"/>
        <w:gridCol w:w="81"/>
      </w:tblGrid>
      <w:tr w:rsidR="00CE2864" w:rsidRPr="00CE2864" w:rsidTr="00CE2864">
        <w:trPr>
          <w:tblCellSpacing w:w="15" w:type="dxa"/>
          <w:jc w:val="center"/>
        </w:trPr>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CE2864" w:rsidRPr="00CE2864" w:rsidRDefault="00CE2864" w:rsidP="00CE2864">
            <w:pPr>
              <w:spacing w:after="0" w:line="240" w:lineRule="auto"/>
              <w:rPr>
                <w:rFonts w:ascii="Times New Roman" w:eastAsia="Times New Roman" w:hAnsi="Times New Roman" w:cs="Times New Roman"/>
                <w:sz w:val="24"/>
                <w:szCs w:val="24"/>
                <w:lang w:eastAsia="es-UY"/>
              </w:rPr>
            </w:pPr>
          </w:p>
        </w:tc>
      </w:tr>
    </w:tbl>
    <w:p w:rsidR="00CE2864" w:rsidRPr="00CE2864" w:rsidRDefault="00CE2864" w:rsidP="00CE2864">
      <w:pPr>
        <w:spacing w:after="0" w:line="240" w:lineRule="auto"/>
        <w:jc w:val="center"/>
        <w:rPr>
          <w:rFonts w:ascii="Times New Roman" w:eastAsia="Times New Roman" w:hAnsi="Times New Roman" w:cs="Times New Roman"/>
          <w:sz w:val="24"/>
          <w:szCs w:val="24"/>
          <w:lang w:eastAsia="es-UY"/>
        </w:rPr>
      </w:pPr>
    </w:p>
    <w:p w:rsidR="00CE2864" w:rsidRPr="00CE2864" w:rsidRDefault="00CE2864" w:rsidP="00CE2864">
      <w:pPr>
        <w:spacing w:after="0"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Texto de la Sentencia</w:t>
      </w: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SENTENCIA DEFINITIVA Nº 439/2012.-</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TRIBUNAL DE APELACIONES DEL TRABAJO DE PRIMER TURNO.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Redactor: Dr. Julio Alfredo Posada Xavier.</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Ministros Firmantes: Dra. Doris Perla Morales Martínez, Dr. Julio A. Posada Xavier, Dra. Rita Beatriz Patrón Betancor</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Montevideo, 10 de octubre de 2012.-</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VISTOS: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Para sentencia definitiva de segunda instancia estos autos caratulados: “SOLE ALEMAN, CARLOS C/ SBD S.A.- DEMANDA LABORAL” Ficha 2-1537/2012 venidos a conocimiento de ésta Sala en virtud del recurso de apelación deducido por la parte actora contra la sentencia definitiva de primera instancia Nº 37/2012 del 29 de junio de 2012 (fs. 152 a 166) dictada por el Sr. Juez Letrado de Primera Instancia de del Trabajo de 14º Turno Dr. Pedro P. Hackenbruch Peña.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RESULTANDO: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1º) Que por el referido pronunciamiento a cuya relación de antecedentes cabe remitirse se desestimó la demanda en su totalidad, sin especial condenación procesal.</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2º) Con fecha 30/07/2012 la parte actora interpuso recurso de apelación (fs. 169 a 171 vta.) agraviándose por: a) lo resuelto por la providencia dictada en la audiencia única del 8/06/2012 (fs. 118) que apelara con efecto diferido. b) La notoria mala conducta y c) La pérdida del seguro de desempleo. Solicitó que en definitiva se revoque la recurrida, condenando al demandado al pago de $ 308.465,15 más actualización e intereses.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3º) Por auto Nº 1385/2012 del 30/07/2012 (fs.173) se confirió traslado a la contraparte del recurso de apelación interpuesto, evacuándolo la demandada el día17/08/2012 (fs. 175 a 176 vta.) abogando por el rechazo de los agravios y la confirmación de la recurrida en todos sus términos.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4º) Por auto Nº 1561/2012 del 20/08/2012 (fs. 178) se franqueó la alzada, con efecto suspensivo. El día 7/09/2012 se recibieron los autos en ésta Sede (fs. 184), fijándose fecha para el acuerdo, disponiéndose el pase a estudio de los Sres. Ministros y procediéndose de conformidad con lo dispuesto por el art. 17 de la Ley Nº 18.572.</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CONSIDERANDO: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I) Que La parte actora en primer lugar fundamenta la apelación concedida con efecto diferido (providencia Nº 1074/2012) en la audiencia única del día 8 de junio de 2012 (fs. 118) por la admisión de un CD/DVD agregado por la parte demandada como medio probatorio a fs.78, y que se tuvo por agregado con el dictado de la providencia Nº 495/2012 del 23 de marzo de 2012 (fs. 90 y vta.) que fijó provisoriamente el objeto del proceso y de la prueba y ordenó la recepción y agregación de la prueba ofrecida por ambas partes.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 artículo 14 numeral 4 de la Ley Nº 18.572 establece que la resolución que provee sobre los medios probatorios admitirá recursos de reposición y apelación con efecto diferido, que deberá anunciarse, respectivamente en la propia audiencia.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La apelación fue concedida con efecto diferido (auto Nº 1074/2012) procediéndose en la audiencia a observar el mencionado CD, dejándose constancia de las imágenes (fs. 118 y 119)</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Sostiene el recurrente que la prueba documental referida es manifiestamente ilegal pues se obtuvo mediante engaños y artimañas, sin conocimiento y por lo tanto sin consentimiento del trabajador y menos aún de la esposa de éste. En definitiva afirma que la prueba se obtuvo en forma ilícita, vulnerándose derechos fundamentales, el video fue grabado sin el conocimiento ni consentimiento de la Sra. esposa del Sr. Solé (fs. 169 y 170).</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 Tribunal comparte los agravios del recurrente por lo que acogerá el agravio y revocará la resolución apelada con efecto diferido, no haciéndose lugar a la prueba consistente en el video CD/DVD agregado en autos.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En efecto, cuestionada la forma en que se obtuvo la grabación de ese video así como el consentimiento de quienes aparecen en el mismo para su divulgación, es claro que correspondía a la demandada que pretendía valerse del mismo acreditar tales extremos y es claro que no cumplió con dicha carga.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 desconocimiento de la persona filmada acerca de que la filmación estaba ocurriendo y el hecho de que se fuera específicamente a filmarla sin su conocimiento y consentimiento, no tratándose tampoco de una cámara fija que estuviera colocada en determinado lugar en forma permanente y cuya existencia puede ser advertida por todos determina claramente que se trate de una violación de la intimidad, una afectación de ese derecho fundamental de las personas, máxime cuando ni siquiera es el actor quien aparece allí sino su Sra. esposa.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Ello surge de las propias declaraciones del actor de fs. 119, del representante de la demandada, Sr. González de fs. 123 in fine y 124, Jorge Alberto Barletta a fs. 131 y 132, Vanessa Rodríguez a fs. 137, 137 in fine y 138. En consecuencia se declarará inadmisible dicho medio probatorio.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No obstante lo cual, ello no significa que lo actuado sea ineficaz o inválido y que obste un pronunciamiento sobre el agravio principal.</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II) Precisamente se agravia la parte actora porque la recurrida desestima el reclamo de indemnización por despido por entender que se ha configurado la eximente de notoria mala conducta.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Sostiene que no se valora adecuadamente la prueba de autos así como el concepto de notoria mala conducta, siendo que el trabajador se desempeñó casi 8 años en la empresa sin ninguna sanción a lo que se suma que de la prueba testimonial surge que los trabajadores de la empresa han tenido y tienen talleres y/o realizan trabajos particulares del mismo ramo que el de SBD S.A. y muchas veces realizan trabajos particulares para ésta, no existiendo exclusividad en este ramo (fs. 169 vta. a 170 vta.).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 Tribunal entiende que éste agravio no es de recibo por lo que será desestimado, confirmándose la decisión de la sentencia definitiva de primer grado que tuvo por configurada la eximente de notoria mala conducta y por consiguiente no hizo lugar a la indemnización por despido reclamada.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En efecto, sin perjuicio de la absoluta improcedencia de la contratación de un investigador privado y aún descartando completamente el resultado de la prueba de video agregada por la accionada, el Tribunal entiende que igualmente la empleadora acreditó fehacientemente sus dichos, esto es, probó los hechos que narró en su contestación y que habrían configurado la notoria mala conducta del trabajador.</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Sostuvo la demandada que el cese del actor fue por la causal de notoria mala conducta la que consistió en llevar a cabo actos de competencia desleal contra su empleador pues el Sr. Carlos Solé había montado un taller en su domicilio de la calle Burgues 3814 con el mismo rubro de actividad que SBD S.A. el cual era atendido por él mismo y su esposa de lo cual tuvo conocimiento cuando llegó a sus manos un volante promocionando la reparación de herramientas del mismo tipo exacto que las que repara SBD (fs. 84 vta. y ss.).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Agregó que SBD posee un Reglamento interno, denominado Normativa de Comportamiento Interno del Taller y de las normas de comportamiento que la empresa tiene vigentes y la conducta del Sr. Solé es contraria a lo allí establecido, en forma flagrante, no pudiendo alegar desconocimiento dada su antigüedad en la firma, incluso suscribió una actualización el día 19 de agosto de 2011. De acuerdo ala misma se establece que “Queda terminantemente prohibido utilizar conocimientos y cualquier tipo de información adquiridos en la empresa o en cursos de capacitación proporcionados por la misma, así como desarrollar actividades o realizar actos o hechos que impliquen cualquier tipo de competencia desleal y perjuicios a la empresa en la cual prestan funciones, a saber: a) Trabajar dentro o fuera del horario de trabajo, para empresas del mismo ramo o similar y/o para particulares. b) Prestar asesoramiento técnico dentro o fuera del horario de trabajo a empresas del mismo ramo o similar y/o particulares” (fs. 85 vta. y 86).</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Pues bien, tales extremos surgen acreditados en autos. De fs. 69 y siguientes consta el Reglamento interno referido por la demandada como la norma que impide cualquier tipo de competencia desleal antes mencionada (fs. 71 numeral VIII que dice en qué consiste la competencia desleal y fs. 74 donde se señala que en ese caso lo que corresponde es el despido. El actor admitió conocer esa normativa así como su firma allí puesta (fs. 115).</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Si bien la demandada no probó que el actor contara con sanciones anteriores, el actor admitió que en otra oportunidad uso un cartel anunciando que hacía instalaciones y el demandado le dio que no podía tenerlo (fs. 115), por lo cual no es de recibo su argumento de que estaba permitido trabajar en la misma actividad que desarrolla la empresa empleadora, por más que sostenga que otros empleados también lo hacían.</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xml:space="preserve">El actor admitió, entonces que hacía esas “changuitas” de arreglo de herramientas y con la ayuda de su esposa repartió unos volantes y que ella era quien atendía el teléfono”, </w:t>
      </w:r>
      <w:r w:rsidRPr="00CE2864">
        <w:rPr>
          <w:rFonts w:ascii="Times New Roman" w:eastAsia="Times New Roman" w:hAnsi="Times New Roman" w:cs="Times New Roman"/>
          <w:sz w:val="24"/>
          <w:szCs w:val="24"/>
          <w:lang w:eastAsia="es-UY"/>
        </w:rPr>
        <w:lastRenderedPageBreak/>
        <w:t>reconociendo el volante agregado a fs. 76 como los que él repartía (fs. 116). También reconoció haber elaborado el presupuesto agregado a fs. 77 (fs. 116), siendo absolutamente improcedente que pretenda alegar que “estaba implícito” que tenía la necesidad de hacer esos trabajos extra desde el momento que le pidió un sueldo a su patrón (fs. 116).</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La esposa del actor Sra. Vanessa Rodríguez también reconoció que trabajaba en esas actividades y que su esposo hacía reparaciones de máquinas, similares a las que reparaba en el taller de González, reconociendo también el presupuesto de fs. 77 (fs. 136 y 137).</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En definitiva, entonces la realización en forma particular de la misma tarea que realizaba en el taller demandado, a sabiendas que no estaba admitido, dado que reconoció haber firmado el reglamento y que tenía conocimiento del mismo, sumado a la circunstancia de que el propio actor admitió que anteriormente el Sr. González le había hecho sacar un cartel de anuncio “porque estaba relacionado con el trabajo que yo hacía en la empresa” (fs. 115), implica claramente que el trabajador incurrió en una clara competencia desleal, pretendiendo incluso captar clientes mediante folletos y volantes, clientes que también potencialmente podían ser de su empleadora.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Ello determina claramente que el actor incurrió en una inconducta grave, violando los deberes de fidelidad y lealtad, al ofrecer y desarrollar una actividad totalmente idéntica a la de su empleadora, que cuenta con una infraestructura montada, incumplimiento que es suficiente para configurar la eximente de notoria mala conducta.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La inconducta reviste una gravedad tal que la antigüedad del trabajador y la falta de sanciones previas no son suficientes para excluir la configuración de la eximente, tal como lo entendió el a-quo a fs. 165. En consecuencia, el agravio no es de recibo por lo que se confirmará la decisión adoptada en el grado anterior.</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III) Finalmente y como consecuencia de lo decidido en relación a la configuración de la notoria mala conducta, tampoco es de recibo el agravio referido al rechazo del reclamo de daños y perjuicios por la omisión patronal de los deberes legales para la viabilidad del cobro de la prestación del subsidio por seguro de paro (fs. 170 vta.).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Como lo admite el propio recurrente, el subsidio por desempleo no corresponde cuando se ha configurado la eximente de notoria mala conducta y quien determina si se configura o no la notoria mala conducta no es otra que la justicia laboral. En consecuencia, éste agravio también será desestimado.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IV) Las costas serán de oficio, no existiendo mérito para la imposición de condena en costos (arts. 56.1, 261 del C.G.P. y 688 del C.Civil).</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Por lo expuesto, los fundamentos expresados, las normas legales citadas y lo establecido por los artículos 197, 198 y 344 del C.G.P.</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EL TRIBUNAL FALLA: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REVOCASE LA RESOLUCION RECURRIDA CON EFECTO DIFERIDO Y EN SU LUGAR DECLARASE INADMISIBLE LA PRUEBA CONSISTENTE EN EL VIDEO AGREGADO A FS. 78 Y CONFIRMASE LA SENTENCIA DEFINITIVA APELADA.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COSTAS DE OFICIO Y SIN ESPECIAL CONDENACIÓN EN COSTOS.</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HONORARIOS FICTOS: CINCO BASES DE PRESTACIÓN Y CONTRIBUCIÓN.</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NOTIFÍQUESE Y OPORTUNAMENTE DEVUÉLVASE A LA SEDE DE ORIGEN.</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lastRenderedPageBreak/>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Dra. Doris Morales Martínez</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 Julio Posada Xavier</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Dra. Rita Patrón</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Ministro Suplente</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Esc. Helena Braun Minelli</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Secretaria</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rPr>
          <w:rFonts w:ascii="Times New Roman" w:eastAsia="Times New Roman" w:hAnsi="Times New Roman" w:cs="Times New Roman"/>
          <w:sz w:val="24"/>
          <w:szCs w:val="24"/>
          <w:lang w:eastAsia="es-UY"/>
        </w:rPr>
      </w:pPr>
    </w:p>
    <w:p w:rsidR="00CE2864" w:rsidRPr="00CE2864" w:rsidRDefault="00CE2864" w:rsidP="00CE2864">
      <w:pPr>
        <w:spacing w:before="100" w:beforeAutospacing="1" w:after="100" w:afterAutospacing="1" w:line="240" w:lineRule="auto"/>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t> </w:t>
      </w:r>
    </w:p>
    <w:p w:rsidR="00CE2864" w:rsidRPr="00CE2864" w:rsidRDefault="00CE2864" w:rsidP="00CE2864">
      <w:pPr>
        <w:spacing w:after="0" w:line="240" w:lineRule="auto"/>
        <w:jc w:val="center"/>
        <w:rPr>
          <w:rFonts w:ascii="Times New Roman" w:eastAsia="Times New Roman" w:hAnsi="Times New Roman" w:cs="Times New Roman"/>
          <w:sz w:val="24"/>
          <w:szCs w:val="24"/>
          <w:lang w:eastAsia="es-UY"/>
        </w:rPr>
      </w:pPr>
      <w:r w:rsidRPr="00CE2864">
        <w:rPr>
          <w:rFonts w:ascii="Times New Roman" w:eastAsia="Times New Roman" w:hAnsi="Times New Roman" w:cs="Times New Roman"/>
          <w:sz w:val="24"/>
          <w:szCs w:val="24"/>
          <w:lang w:eastAsia="es-UY"/>
        </w:rPr>
        <w:br/>
      </w:r>
    </w:p>
    <w:p w:rsidR="00CE2864" w:rsidRPr="00CE2864" w:rsidRDefault="00CE2864" w:rsidP="00CE2864">
      <w:pPr>
        <w:pBdr>
          <w:bottom w:val="single" w:sz="6" w:space="1" w:color="auto"/>
        </w:pBdr>
        <w:spacing w:after="0" w:line="240" w:lineRule="auto"/>
        <w:jc w:val="center"/>
        <w:rPr>
          <w:rFonts w:ascii="Arial" w:eastAsia="Times New Roman" w:hAnsi="Arial" w:cs="Arial"/>
          <w:vanish/>
          <w:sz w:val="16"/>
          <w:szCs w:val="16"/>
          <w:lang w:eastAsia="es-UY"/>
        </w:rPr>
      </w:pPr>
      <w:r w:rsidRPr="00CE2864">
        <w:rPr>
          <w:rFonts w:ascii="Arial" w:eastAsia="Times New Roman" w:hAnsi="Arial" w:cs="Arial"/>
          <w:vanish/>
          <w:sz w:val="16"/>
          <w:szCs w:val="16"/>
          <w:lang w:eastAsia="es-UY"/>
        </w:rPr>
        <w:lastRenderedPageBreak/>
        <w:t>Principio del formulario</w:t>
      </w:r>
    </w:p>
    <w:p w:rsidR="00CE2864" w:rsidRPr="00CE2864" w:rsidRDefault="00CE2864" w:rsidP="00CE2864">
      <w:pPr>
        <w:pBdr>
          <w:top w:val="single" w:sz="6" w:space="1" w:color="auto"/>
        </w:pBdr>
        <w:spacing w:after="0" w:line="240" w:lineRule="auto"/>
        <w:jc w:val="center"/>
        <w:rPr>
          <w:rFonts w:ascii="Arial" w:eastAsia="Times New Roman" w:hAnsi="Arial" w:cs="Arial"/>
          <w:vanish/>
          <w:sz w:val="16"/>
          <w:szCs w:val="16"/>
          <w:lang w:eastAsia="es-UY"/>
        </w:rPr>
      </w:pPr>
      <w:r w:rsidRPr="00CE2864">
        <w:rPr>
          <w:rFonts w:ascii="Arial" w:eastAsia="Times New Roman" w:hAnsi="Arial" w:cs="Arial"/>
          <w:vanish/>
          <w:sz w:val="16"/>
          <w:szCs w:val="16"/>
          <w:lang w:eastAsia="es-UY"/>
        </w:rPr>
        <w:t>Final del formulario</w:t>
      </w:r>
    </w:p>
    <w:p w:rsidR="00C51C64" w:rsidRDefault="00C51C64"/>
    <w:sectPr w:rsidR="00C51C64" w:rsidSect="00C51C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E2864"/>
    <w:rsid w:val="00C51C64"/>
    <w:rsid w:val="00CE286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C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E2864"/>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ighlight">
    <w:name w:val="highlight"/>
    <w:basedOn w:val="Fuentedeprrafopredeter"/>
    <w:rsid w:val="00CE2864"/>
  </w:style>
  <w:style w:type="paragraph" w:styleId="z-Principiodelformulario">
    <w:name w:val="HTML Top of Form"/>
    <w:basedOn w:val="Normal"/>
    <w:next w:val="Normal"/>
    <w:link w:val="z-PrincipiodelformularioCar"/>
    <w:hidden/>
    <w:uiPriority w:val="99"/>
    <w:semiHidden/>
    <w:unhideWhenUsed/>
    <w:rsid w:val="00CE2864"/>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CE2864"/>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CE2864"/>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CE2864"/>
    <w:rPr>
      <w:rFonts w:ascii="Arial" w:eastAsia="Times New Roman" w:hAnsi="Arial" w:cs="Arial"/>
      <w:vanish/>
      <w:sz w:val="16"/>
      <w:szCs w:val="16"/>
      <w:lang w:eastAsia="es-UY"/>
    </w:rPr>
  </w:style>
</w:styles>
</file>

<file path=word/webSettings.xml><?xml version="1.0" encoding="utf-8"?>
<w:webSettings xmlns:r="http://schemas.openxmlformats.org/officeDocument/2006/relationships" xmlns:w="http://schemas.openxmlformats.org/wordprocessingml/2006/main">
  <w:divs>
    <w:div w:id="405302285">
      <w:bodyDiv w:val="1"/>
      <w:marLeft w:val="0"/>
      <w:marRight w:val="0"/>
      <w:marTop w:val="0"/>
      <w:marBottom w:val="0"/>
      <w:divBdr>
        <w:top w:val="none" w:sz="0" w:space="0" w:color="auto"/>
        <w:left w:val="none" w:sz="0" w:space="0" w:color="auto"/>
        <w:bottom w:val="none" w:sz="0" w:space="0" w:color="auto"/>
        <w:right w:val="none" w:sz="0" w:space="0" w:color="auto"/>
      </w:divBdr>
      <w:divsChild>
        <w:div w:id="247815642">
          <w:marLeft w:val="0"/>
          <w:marRight w:val="0"/>
          <w:marTop w:val="0"/>
          <w:marBottom w:val="0"/>
          <w:divBdr>
            <w:top w:val="none" w:sz="0" w:space="0" w:color="auto"/>
            <w:left w:val="none" w:sz="0" w:space="0" w:color="auto"/>
            <w:bottom w:val="none" w:sz="0" w:space="0" w:color="auto"/>
            <w:right w:val="none" w:sz="0" w:space="0" w:color="auto"/>
          </w:divBdr>
          <w:divsChild>
            <w:div w:id="2102680086">
              <w:marLeft w:val="0"/>
              <w:marRight w:val="0"/>
              <w:marTop w:val="0"/>
              <w:marBottom w:val="0"/>
              <w:divBdr>
                <w:top w:val="none" w:sz="0" w:space="0" w:color="auto"/>
                <w:left w:val="none" w:sz="0" w:space="0" w:color="auto"/>
                <w:bottom w:val="none" w:sz="0" w:space="0" w:color="auto"/>
                <w:right w:val="none" w:sz="0" w:space="0" w:color="auto"/>
              </w:divBdr>
              <w:divsChild>
                <w:div w:id="1689332665">
                  <w:marLeft w:val="0"/>
                  <w:marRight w:val="0"/>
                  <w:marTop w:val="0"/>
                  <w:marBottom w:val="0"/>
                  <w:divBdr>
                    <w:top w:val="none" w:sz="0" w:space="0" w:color="auto"/>
                    <w:left w:val="none" w:sz="0" w:space="0" w:color="auto"/>
                    <w:bottom w:val="none" w:sz="0" w:space="0" w:color="auto"/>
                    <w:right w:val="none" w:sz="0" w:space="0" w:color="auto"/>
                  </w:divBdr>
                </w:div>
              </w:divsChild>
            </w:div>
            <w:div w:id="652099812">
              <w:marLeft w:val="0"/>
              <w:marRight w:val="0"/>
              <w:marTop w:val="0"/>
              <w:marBottom w:val="0"/>
              <w:divBdr>
                <w:top w:val="none" w:sz="0" w:space="0" w:color="auto"/>
                <w:left w:val="none" w:sz="0" w:space="0" w:color="auto"/>
                <w:bottom w:val="none" w:sz="0" w:space="0" w:color="auto"/>
                <w:right w:val="none" w:sz="0" w:space="0" w:color="auto"/>
              </w:divBdr>
              <w:divsChild>
                <w:div w:id="348799474">
                  <w:marLeft w:val="0"/>
                  <w:marRight w:val="0"/>
                  <w:marTop w:val="0"/>
                  <w:marBottom w:val="0"/>
                  <w:divBdr>
                    <w:top w:val="none" w:sz="0" w:space="0" w:color="auto"/>
                    <w:left w:val="none" w:sz="0" w:space="0" w:color="auto"/>
                    <w:bottom w:val="none" w:sz="0" w:space="0" w:color="auto"/>
                    <w:right w:val="none" w:sz="0" w:space="0" w:color="auto"/>
                  </w:divBdr>
                </w:div>
                <w:div w:id="1858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2005</Words>
  <Characters>11028</Characters>
  <Application>Microsoft Office Word</Application>
  <DocSecurity>0</DocSecurity>
  <Lines>91</Lines>
  <Paragraphs>26</Paragraphs>
  <ScaleCrop>false</ScaleCrop>
  <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2014-03-31T21:24:00Z</dcterms:created>
  <dcterms:modified xsi:type="dcterms:W3CDTF">2014-03-31T21:25:00Z</dcterms:modified>
</cp:coreProperties>
</file>