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00" w:type="dxa"/>
        <w:jc w:val="center"/>
        <w:tblCellSpacing w:w="0" w:type="dxa"/>
        <w:tblCellMar>
          <w:left w:w="0" w:type="dxa"/>
          <w:right w:w="0" w:type="dxa"/>
        </w:tblCellMar>
        <w:tblLook w:val="04A0"/>
      </w:tblPr>
      <w:tblGrid>
        <w:gridCol w:w="907"/>
        <w:gridCol w:w="2453"/>
        <w:gridCol w:w="1280"/>
        <w:gridCol w:w="1360"/>
      </w:tblGrid>
      <w:tr w:rsidR="00965A33" w:rsidRPr="00965A33" w:rsidTr="00965A33">
        <w:trPr>
          <w:tblHeader/>
          <w:tblCellSpacing w:w="0" w:type="dxa"/>
          <w:jc w:val="center"/>
        </w:trPr>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Número</w:t>
            </w:r>
          </w:p>
        </w:tc>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Sede</w:t>
            </w:r>
          </w:p>
        </w:tc>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Importancia</w:t>
            </w:r>
          </w:p>
        </w:tc>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Tipo</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837/2012</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Suprema Corte de Justicia</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ALTA</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DEFINITIVA</w:t>
            </w:r>
          </w:p>
        </w:tc>
      </w:tr>
    </w:tbl>
    <w:p w:rsidR="00965A33" w:rsidRPr="00965A33" w:rsidRDefault="00965A33" w:rsidP="00965A3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1258"/>
        <w:gridCol w:w="1550"/>
        <w:gridCol w:w="3192"/>
      </w:tblGrid>
      <w:tr w:rsidR="00965A33" w:rsidRPr="00965A33" w:rsidTr="00965A33">
        <w:trPr>
          <w:tblHeader/>
          <w:tblCellSpacing w:w="0" w:type="dxa"/>
          <w:jc w:val="center"/>
        </w:trPr>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Fecha</w:t>
            </w:r>
          </w:p>
        </w:tc>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Ficha</w:t>
            </w:r>
          </w:p>
        </w:tc>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Procedimiento</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11/10/2012</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2-62252/2008</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RECURSO DE CASACIÓN</w:t>
            </w:r>
          </w:p>
        </w:tc>
      </w:tr>
    </w:tbl>
    <w:p w:rsidR="00965A33" w:rsidRPr="00965A33" w:rsidRDefault="00965A33" w:rsidP="00965A3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3810"/>
        <w:gridCol w:w="2190"/>
      </w:tblGrid>
      <w:tr w:rsidR="00965A33" w:rsidRPr="00965A33" w:rsidTr="00965A33">
        <w:trPr>
          <w:tblHeader/>
          <w:tblCellSpacing w:w="0" w:type="dxa"/>
          <w:jc w:val="center"/>
        </w:trPr>
        <w:tc>
          <w:tcPr>
            <w:tcW w:w="0" w:type="auto"/>
            <w:gridSpan w:val="2"/>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Materias</w:t>
            </w:r>
          </w:p>
        </w:tc>
      </w:tr>
      <w:tr w:rsidR="00965A33" w:rsidRPr="00965A33" w:rsidTr="00965A33">
        <w:trPr>
          <w:tblCellSpacing w:w="0" w:type="dxa"/>
          <w:jc w:val="center"/>
        </w:trPr>
        <w:tc>
          <w:tcPr>
            <w:tcW w:w="0" w:type="auto"/>
            <w:gridSpan w:val="2"/>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DERECHO LABORAL</w:t>
            </w:r>
          </w:p>
        </w:tc>
      </w:tr>
      <w:tr w:rsidR="00965A33" w:rsidRPr="00965A33" w:rsidTr="00965A33">
        <w:trPr>
          <w:tblHeader/>
          <w:tblCellSpacing w:w="0" w:type="dxa"/>
          <w:jc w:val="center"/>
        </w:trPr>
        <w:tc>
          <w:tcPr>
            <w:tcW w:w="0" w:type="auto"/>
            <w:gridSpan w:val="2"/>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Firmantes</w:t>
            </w:r>
          </w:p>
        </w:tc>
      </w:tr>
      <w:tr w:rsidR="00965A33" w:rsidRPr="00965A33" w:rsidTr="00965A33">
        <w:trPr>
          <w:tblHeader/>
          <w:tblCellSpacing w:w="0" w:type="dxa"/>
          <w:jc w:val="center"/>
        </w:trPr>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Nombre</w:t>
            </w:r>
          </w:p>
        </w:tc>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Cargo</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Dr. Daniel Iberico GUTIERREZ PROTO</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PRESIDENTE S.C. de J.</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Dr. Fernando Raul TOVAGLIARE ROMERO</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Secretario Letrado</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Dr. Jorge Omar CHEDIAK GONZALEZ</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MINISTRO S.C. de J.</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Dr. Jorge Tomas LARRIEUX RODRIGUEZ</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MINISTRO S.C. de J.</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Dr. Ricardo Cesar PEREZ MANRIQUE</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MINISTRO S.C. de J.</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Dr. Jorge RUIBAL PINO</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MINISTRO S.C. de J.</w:t>
            </w:r>
          </w:p>
        </w:tc>
      </w:tr>
    </w:tbl>
    <w:p w:rsidR="00965A33" w:rsidRPr="00965A33" w:rsidRDefault="00965A33" w:rsidP="00965A3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3217"/>
        <w:gridCol w:w="2783"/>
      </w:tblGrid>
      <w:tr w:rsidR="00965A33" w:rsidRPr="00965A33" w:rsidTr="00965A33">
        <w:trPr>
          <w:tblHeader/>
          <w:tblCellSpacing w:w="0" w:type="dxa"/>
          <w:jc w:val="center"/>
        </w:trPr>
        <w:tc>
          <w:tcPr>
            <w:tcW w:w="0" w:type="auto"/>
            <w:gridSpan w:val="2"/>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Redactores</w:t>
            </w:r>
          </w:p>
        </w:tc>
      </w:tr>
      <w:tr w:rsidR="00965A33" w:rsidRPr="00965A33" w:rsidTr="00965A33">
        <w:trPr>
          <w:tblHeader/>
          <w:tblCellSpacing w:w="0" w:type="dxa"/>
          <w:jc w:val="center"/>
        </w:trPr>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Nombre</w:t>
            </w:r>
          </w:p>
        </w:tc>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Cargo</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Dr. Jorge RUIBAL PINO</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MINISTRO S.C. de J.</w:t>
            </w:r>
          </w:p>
        </w:tc>
      </w:tr>
    </w:tbl>
    <w:p w:rsidR="00965A33" w:rsidRPr="00965A33" w:rsidRDefault="00965A33" w:rsidP="00965A33">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6635"/>
        <w:gridCol w:w="1863"/>
        <w:gridCol w:w="6"/>
      </w:tblGrid>
      <w:tr w:rsidR="00965A33" w:rsidRPr="00965A33" w:rsidTr="00965A33">
        <w:trPr>
          <w:tblHeader/>
          <w:tblCellSpacing w:w="0" w:type="dxa"/>
          <w:jc w:val="center"/>
        </w:trPr>
        <w:tc>
          <w:tcPr>
            <w:tcW w:w="0" w:type="auto"/>
            <w:gridSpan w:val="3"/>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Abstract</w:t>
            </w:r>
          </w:p>
        </w:tc>
      </w:tr>
      <w:tr w:rsidR="00965A33" w:rsidRPr="00965A33" w:rsidTr="00965A33">
        <w:trPr>
          <w:tblHeader/>
          <w:tblCellSpacing w:w="0" w:type="dxa"/>
          <w:jc w:val="center"/>
        </w:trPr>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Camino</w:t>
            </w:r>
          </w:p>
        </w:tc>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Descriptores Abstract</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0"/>
                <w:szCs w:val="20"/>
                <w:lang w:eastAsia="es-UY"/>
              </w:rPr>
            </w:pP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14"/>
                <w:szCs w:val="14"/>
                <w:lang w:eastAsia="es-UY"/>
              </w:rPr>
              <w:t>DERECHO LABORAL-&gt;PRINCIPIOS DEL DERECHO DEL TRABAJO-&gt;PRINCIPIO DE RAZONABILIDAD</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0"/>
                <w:szCs w:val="20"/>
                <w:lang w:eastAsia="es-UY"/>
              </w:rPr>
            </w:pP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14"/>
                <w:szCs w:val="14"/>
                <w:lang w:eastAsia="es-UY"/>
              </w:rPr>
              <w:t>DERECHO LABORAL-&gt;PRINCIPIOS DEL DERECHO DEL TRABAJO-&gt;PRINCIPIO DE PRIMACIA DE LA REALIDAD</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0"/>
                <w:szCs w:val="20"/>
                <w:lang w:eastAsia="es-UY"/>
              </w:rPr>
            </w:pP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14"/>
                <w:szCs w:val="14"/>
                <w:lang w:eastAsia="es-UY"/>
              </w:rPr>
              <w:t>DERECHO LABORAL-&gt;PRINCIPIOS DEL DERECHO DEL TRABAJO-&gt;PRINCIPIO DE PRIMACIA DE LA REALIDAD-&gt;FUNDAMENTO-&gt;EXIGENCIA DE LA BUENA FE</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0"/>
                <w:szCs w:val="20"/>
                <w:lang w:eastAsia="es-UY"/>
              </w:rPr>
            </w:pP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14"/>
                <w:szCs w:val="14"/>
                <w:lang w:eastAsia="es-UY"/>
              </w:rPr>
              <w:t>DERECHO PROCESAL-&gt;PRUEBA-&gt;VALORACION DE LA PRUEBA-&gt;VALORACION DE LA PRUEBA EN PROCESO LABORAL</w:t>
            </w: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0"/>
                <w:szCs w:val="20"/>
                <w:lang w:eastAsia="es-UY"/>
              </w:rPr>
            </w:pPr>
          </w:p>
        </w:tc>
      </w:tr>
    </w:tbl>
    <w:p w:rsidR="00965A33" w:rsidRPr="00965A33" w:rsidRDefault="00965A33" w:rsidP="00965A33">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1293"/>
      </w:tblGrid>
      <w:tr w:rsidR="00965A33" w:rsidRPr="00965A33" w:rsidTr="00965A33">
        <w:trPr>
          <w:tblHeader/>
          <w:tblCellSpacing w:w="0" w:type="dxa"/>
          <w:jc w:val="center"/>
        </w:trPr>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Descriptores</w:t>
            </w:r>
          </w:p>
        </w:tc>
      </w:tr>
      <w:tr w:rsidR="00965A33" w:rsidRPr="00965A33" w:rsidTr="00965A33">
        <w:trPr>
          <w:tblCellSpacing w:w="0"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p>
        </w:tc>
      </w:tr>
    </w:tbl>
    <w:p w:rsidR="00965A33" w:rsidRPr="00965A33" w:rsidRDefault="00965A33" w:rsidP="00965A33">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8504"/>
      </w:tblGrid>
      <w:tr w:rsidR="00965A33" w:rsidRPr="00965A33" w:rsidTr="00965A33">
        <w:trPr>
          <w:tblHeader/>
          <w:tblCellSpacing w:w="0" w:type="dxa"/>
          <w:jc w:val="center"/>
        </w:trPr>
        <w:tc>
          <w:tcPr>
            <w:tcW w:w="0" w:type="auto"/>
            <w:vAlign w:val="center"/>
            <w:hideMark/>
          </w:tcPr>
          <w:p w:rsidR="00965A33" w:rsidRPr="00965A33" w:rsidRDefault="00965A33" w:rsidP="00965A33">
            <w:pPr>
              <w:spacing w:after="0" w:line="240" w:lineRule="auto"/>
              <w:jc w:val="center"/>
              <w:rPr>
                <w:rFonts w:ascii="Times New Roman" w:eastAsia="Times New Roman" w:hAnsi="Times New Roman" w:cs="Times New Roman"/>
                <w:b/>
                <w:bCs/>
                <w:sz w:val="24"/>
                <w:szCs w:val="24"/>
                <w:lang w:eastAsia="es-UY"/>
              </w:rPr>
            </w:pPr>
            <w:r w:rsidRPr="00965A33">
              <w:rPr>
                <w:rFonts w:ascii="Times New Roman" w:eastAsia="Times New Roman" w:hAnsi="Times New Roman" w:cs="Times New Roman"/>
                <w:b/>
                <w:bCs/>
                <w:sz w:val="24"/>
                <w:szCs w:val="24"/>
                <w:lang w:eastAsia="es-UY"/>
              </w:rPr>
              <w:t>Resumen</w:t>
            </w:r>
          </w:p>
        </w:tc>
      </w:tr>
      <w:tr w:rsidR="00965A33" w:rsidRPr="00965A33" w:rsidTr="00965A33">
        <w:trPr>
          <w:tblCellSpacing w:w="0" w:type="dxa"/>
          <w:jc w:val="center"/>
        </w:trPr>
        <w:tc>
          <w:tcPr>
            <w:tcW w:w="0" w:type="auto"/>
            <w:vAlign w:val="center"/>
            <w:hideMark/>
          </w:tcPr>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NO RESULTA DE RECIBO EL AGRAVIO RESPECTO A LA ALEGADA INFRACCION A LOS PRINCIPIOS DEL DERECHO LABORAL, RAZONABILIDAD, PRIMACIA DE LA REALIDAD, Y DEL DEBER DE ACTUAR CON LEALTAD Y BUENA FE.</w:t>
            </w: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LA VALORACION DE LA PRUEBA EFECTUADA POR EL TRIBUNAL RESULTO CORRECTA.</w:t>
            </w:r>
          </w:p>
        </w:tc>
      </w:tr>
    </w:tbl>
    <w:p w:rsidR="00965A33" w:rsidRPr="00965A33" w:rsidRDefault="00965A33" w:rsidP="00965A33">
      <w:pPr>
        <w:spacing w:after="0" w:line="240" w:lineRule="auto"/>
        <w:jc w:val="center"/>
        <w:rPr>
          <w:rFonts w:ascii="Times New Roman" w:eastAsia="Times New Roman" w:hAnsi="Times New Roman" w:cs="Times New Roman"/>
          <w:vanish/>
          <w:sz w:val="24"/>
          <w:szCs w:val="24"/>
          <w:lang w:eastAsia="es-UY"/>
        </w:rPr>
      </w:pPr>
    </w:p>
    <w:tbl>
      <w:tblPr>
        <w:tblW w:w="0" w:type="auto"/>
        <w:jc w:val="center"/>
        <w:tblCellSpacing w:w="15" w:type="dxa"/>
        <w:tblCellMar>
          <w:top w:w="15" w:type="dxa"/>
          <w:left w:w="15" w:type="dxa"/>
          <w:bottom w:w="15" w:type="dxa"/>
          <w:right w:w="15" w:type="dxa"/>
        </w:tblCellMar>
        <w:tblLook w:val="04A0"/>
      </w:tblPr>
      <w:tblGrid>
        <w:gridCol w:w="81"/>
        <w:gridCol w:w="81"/>
      </w:tblGrid>
      <w:tr w:rsidR="00965A33" w:rsidRPr="00965A33" w:rsidTr="00965A33">
        <w:trPr>
          <w:tblCellSpacing w:w="15" w:type="dxa"/>
          <w:jc w:val="center"/>
        </w:trPr>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965A33" w:rsidRPr="00965A33" w:rsidRDefault="00965A33" w:rsidP="00965A33">
            <w:pPr>
              <w:spacing w:after="0" w:line="240" w:lineRule="auto"/>
              <w:rPr>
                <w:rFonts w:ascii="Times New Roman" w:eastAsia="Times New Roman" w:hAnsi="Times New Roman" w:cs="Times New Roman"/>
                <w:sz w:val="24"/>
                <w:szCs w:val="24"/>
                <w:lang w:eastAsia="es-UY"/>
              </w:rPr>
            </w:pPr>
          </w:p>
        </w:tc>
      </w:tr>
    </w:tbl>
    <w:p w:rsidR="00965A33" w:rsidRPr="00965A33" w:rsidRDefault="00965A33" w:rsidP="00965A33">
      <w:pPr>
        <w:spacing w:after="0" w:line="240" w:lineRule="auto"/>
        <w:jc w:val="center"/>
        <w:rPr>
          <w:rFonts w:ascii="Times New Roman" w:eastAsia="Times New Roman" w:hAnsi="Times New Roman" w:cs="Times New Roman"/>
          <w:sz w:val="24"/>
          <w:szCs w:val="24"/>
          <w:lang w:eastAsia="es-UY"/>
        </w:rPr>
      </w:pPr>
    </w:p>
    <w:p w:rsidR="00965A33" w:rsidRPr="00965A33" w:rsidRDefault="00965A33" w:rsidP="00965A33">
      <w:pPr>
        <w:spacing w:after="0"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Texto de la Sentencia</w:t>
      </w: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Montevideo, diez de octubre de dos mil doce</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lastRenderedPageBreak/>
        <w:t>VISTOS:</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Para sentencia, estos autos caratulados: “NEBEL, GUZMAN Y OTROS C/ BANCO SANTANDER S.A. – CREDITOS SALARIALES - CASACION”; IUE 2-62252/2008, venidos a conocimiento de esta Corporación, en virtud del recurso de casación interpuesto por el representante de la parte demandada, contra la Sentencia No. 267/2012 y su ampliación –interlocutoria No. 308/2012- del Tribunal de Apelaciones del Trabajo de Tercer Turno.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RESULTANDO QUE:</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1.      - Por Sentencia No. 74/2010 y su ampliación vía interlocutoria No. 2901/200 del Juzgado Letrado de Primera Instancia de Trabajo de Quinto Turno, se falló: “No haciendo lugar a las excepciones de prescripción y caducidad incoadas y, en su mérito, declárase que la acción laboral de autos no ha prescripto atento al reclamo y allanamiento. Desestímase la demanda...” (fs. 864/879).</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Ante el recurso de ampliación interpuesto por la parte actora, se dictó la interlocutoria No. 2901/2010, que resolvió: “Aclárase y amplíase la sentencia definitiva No. 74/2010 de 21 de octubre de 2010 (fs. 864/879), en cuanto a que se acogen la incidencia del monto que por ‘bonus’ se abonó en los rubros de licencia no gozada, salario vacacional y aguinaldo en los años 2003, 2004, 2005 y 2006 y por concepto de daños y perjuicios preceptivos se fija un 10% sobre los rubros de naturaleza salarial...” (fs. 882/883 vto.).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xml:space="preserve">Decisión que fue revocada por la impugnada, en cuanto desestimó la demanda promovida y, en su lugar, se condenó a la parte demandada “... al pago de la suma por concepto de ‘bonus’ reclamada, así como al pago de las incidencias de tal beneficio en lo no prescripto sobre los rubros licencia y salario vacacional, y en el rubro aguinaldo </w:t>
      </w:r>
      <w:r w:rsidRPr="00965A33">
        <w:rPr>
          <w:rFonts w:ascii="Times New Roman" w:eastAsia="Times New Roman" w:hAnsi="Times New Roman" w:cs="Times New Roman"/>
          <w:sz w:val="24"/>
          <w:szCs w:val="24"/>
          <w:lang w:eastAsia="es-UY"/>
        </w:rPr>
        <w:lastRenderedPageBreak/>
        <w:t>limitado éste al generado en el daño 2007, cuyos montos habrán de establecerse conforme a lo aquí establecido y en el Considerando respecto por la vía del artículo 378.1 del Código General del Proceso con más el diez por ciento (10%) por concepto de daños y perjuicios preceptivos, con el reajuste correspondiente conforme el Decreto-Ley No. 14.500 e interés legal desde la demanda, confírmase en lo demás, todo sin particular condena procesal en la presente instancia...” (fs. 1017/1031).</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Interpuestos recursos de aclaración y ampliación por el representante de la parte actora (fs. 1033/1034), el “ad-quem”, por decisión interlocutoria No. 308/2012, resolvió: “Amplíase el fallo dictado en autos estableciendo respecto de la remisión a la vía del artículo 378.1 del Código General del Proceso que corresponderá incluir a los efectos de la determinación (monto) del crédito por el que se condena, la ‘incidencia del rubro salario vacacional en el aguinaldo del período no prescripto’” (fs. 1036).</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2.      - A fs. 1037/1056, el representante del Banco Santander S.A., interpuso recurso de casación y, luego de justificar la procedencia formal del mismo, expresó los siguientes agravios:</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El Tribunal efectuó una incorrecta subsunción de los hechos en el concepto de gratificación.</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Los actores incumplieron, en forma flagrante, con el deber de lealtad y buena fe, los que forman parte del contrato de trabajo, constituyendo una obligación fundamental del trabajador para con el empleador.</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Además, los promotores vulneraron el deber de confidencialidad “procurando trasladar la cartera de clientes nada menos que a uno de los bancos de mayor competencia en plaza (HSBC). Ello aconteció en el período de evaluación y era desconocido por el Banco hasta que masivamente lo abandonaron para vincularse a la institución competidora” (fs. 1045).</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Quienes engañaron al Banco no pueden recibir el bono, puesto que en el período de evaluación dedicaban su tiempo a planificar el abandono concertado y masivo para un banco competidor.</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lastRenderedPageBreak/>
        <w:t>Alegó, que “... no se comparte lo establecido por el Tribunal en cuanto a que la gratificación no estaba condicionada a ningún requisito. Todo lo contrario sí que estaba condicionada, y la condición deviene de la aplicación de los preceptos laborales. En ese escenario el deber de Fidelidad resulta un mínimo infranqueable, que incumplido que fuera, como es el caso, colide con la premiación del trabajador” (fs. 1046 vto./1047).</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El sometimiento de los hechos que realizó la Sala respecto de la norma de derecho y, en particular, del concepto de ‘gratificación’ es ilógico, vulnerando así el principio de razonabilidad.</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Si bien en el año 2008 era la fecha en que el derecho al cobro del incentivo se volvía exigible, “... el mismo no devino exigible para los actores ya que una de las condiciones de otorgamiento del incentivo era que los funcionarios permanecieran prestando tareas para el Banco a dicha fecha” (fs. 1049).</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Surge acreditado que, en estricta aplicación del principio de primacía de la realidad, a los funcionarios que se desvincularon del Banco con anterioridad a esa fecha de cobro no se les abonó la partida de referencia.</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La Sala se apartó de lo dispuesto por los arts. 140 y 141 C.G.P., incurriendo en absurdo o arbitrariedad manifiesta en la valoración del material probatorio, cuando establece que al producirse el cese de la relación laboral ya se había generado el crédito por concepto de bono o gratificación.</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Sobre la incidencia del salario vacacional en el aguinaldo, en tanto el rubro fue abonado por el Banco Santander S.A., no corresponde condena alguna al respecto.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En definitiva, solicitó se suspenda la ejecución de la sentencia recurrida y se anula la misma.</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3.      - Conferido traslado del recurso, fue evacuado a fs. 1061/1070 vto., por el representante de la parte actora, solicitando su rechazo.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lastRenderedPageBreak/>
        <w:t>4.      - Por resolución No. 198/2012, el “ad-quem”, dispuso la suspensión de la ejecución de la sentencia, el franqueo del recurso y la elevación de los autos para ante esta Corporación (fs. 1080), donde fueron recibidos el 15 de agosto de 2012 (nota de cargo, fs. 1087).</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5.      - Cumplido el pasaje a estudio dispuesto por auto No. 1852/2012 (fs. 1088), se acordó el dictado de sentencia en forma legal.</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CONSIDERANDO QUE:</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I.      - La Suprema Corte de Justicia, por unanimidad, desestimará el recurso de casación interpuesto, por entender que la decisión atacada no adolece de los vicios que le fueran imputados.</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II.      - En cuanto a la admisibilidad del recurso de casación interpuesto, esta Corporación considera que el libelo cumple con los requisitos formales requeridos.</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Corresponde señalar respecto del alegado incumplimiento respecto de la mención de las normas que se consideraron infringidas por la Sala, que no le asiste razón a la parte actora, en tanto basta la simple lectura del recurso de casación para comprobar que el impugnante señaló como infringidas las normas relativas a la valoración de la prueba (arts. 140 y 141 C.G.P.), lo establecido en los artículos 17, 18 y 20 del C.C. (fs. 1043), así como los principios de razonabilidad, primacía de la realidad y los deberes de actuar con lealtad y buena fe.</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III.      - En cuanto al mérito del asunto, como se preanunciará se irá a la desestimatoria del recurso movilizado.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lastRenderedPageBreak/>
        <w:t>IV.      - El impugnante señaló, en primer término, que en la atacada se verificó un “Desconocimiento del principio de razonabilidad, primacía de la realidad y del deber de actuar con lealtad y buena fe” (fs. 1042 vto.).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Al respecto, cabe reiterar lo señalado por esta Corporación en sentencia No. 462/2000: “Respecto de la posibilidad de comprender dentro del concepto de ‘norma de derecho’ la invocación de la infracción de principios generales del derecho, esta Corporación ha señalado en Sent. No. 597/95 que: ‘... es procedente alegar como motivo de casación, la eventual infracción de los principios de derecho laboral. Esto es, la norma jurídica puede estar constituida por los principios generales de derecho, pues a ellos puede recurrir para decidir un ‘... negocio civil, que no pueda resolverse por las palabras, ni por el espíritu de la Ley de la materia...’ (C. Civil art. 16). Resulta muy claro el contenido normativo de los mismos. ‘Si se admite que el legislador no debe nunca perder de vista esos principios generales, habrá que aceptar, igualmente, que el orden jurídico es, en mayor o menor medida, realización de tales principios y que volver a ellos cuando el legislador guarda silencio, equivale a completar, de manera armónica y coherente, la obra legislativa’, razón por la cual ‘Resolver una cuestión imprevista de acuerdo con los principios generales, quiere decir, por tanto, fallarla como el legislador lo habría hecho, si hubiera podido conocer el caso especial’ (Eduardo García Maynez, Introducción al estudio del derecho, pág. 372)’”.</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Ahora bien, en el subexamine, no resulta de recibo el agravio respecto a la alegada infracción a los principios mencionados supra; pretendiendo el impugnante, en los hechos, una revalorización de la prueba aportada al proceso.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En efecto, sostuvo el demandado que el pago del premio o bonus se encontraba directamente relacionado a una conducta del trabajador que no se verificó, estando el pago condicionado, surgiendo la condición de la aplicación de los principios laborales, “... el deber de fidelidad resulta un mínimo infranqueable, que incumplido que fuera, como en el caso, colide con la premiación del trabajador” (fs. 1046 vto./1047).</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Quienes suscriben este pronunciamiento consideran que no surge acreditado, con el grado de certeza requerido, que los actores hubieran violado los deberes de confidencialidad y que hayan procurado trasladar la cartera de clientes de su empleador original (ABN) al actual (HSBC) y, por consecuencia, no se aprecia la alegada infracción a los principios de razonabilidad, primacía de la realidad, lealtad y buena fe.</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Además, como indicó el Tribunal, de resultar probada las acusaciones que la institución demandada formuló a los actores por el retiro, así como acreditarse el daño patrimonial, ello correspondería a otro litigio (fs. 1026).</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Véase, por otra parte, que los rubros objeto de condena –como se señaló a fs. 1027/1028- respondían a un período anterior a la desvinculación y durante el cual los funcionarios se desempeñaron en la prestación de tareas en forma correcta, lo que los hizo acreedores durante años a la percepción de tal beneficio, y a la vez demuestra la dedicación al cumplimiento de su labor, en función de lo cual en la medida que los hechos que se adujeron como conductas desleales respecto de la referida institución bancaria, habrían acaecido –en todo caso- con posterioridad, resulta compartible la conclusión del Tribunal “ad-quem” en cuanto a que ello no inhibe la configuración del derecho a la bonificación ya generada.</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V.      - Tampoco resulta de recibo el agravio referido a la alegada infracción al art. 140 C.G.P. y a una incorrecta valoración de la prueba.</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En efecto, más allá de las diversas posiciones sustentadas por los miembros de la Corporación en cuanto a lo dispuesto por el art. 270 C.G.P. y la posibilidad de ingresar al análisis en este grado de casación del material fáctico considerado por los órganos de mérito, en el presente caso, no surge que la valoración probatoria realizada por la Sala incurriera en absurdo, ilogicidad o arbitrariedad, ni que la decisión contravenga las reglas de la sana crítica, por lo que resulta improcedente toda revisión que directa o indirectamente, conduzca a una alteración de la plataforma fáctica considerada en la decisión impugnada.</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De todas formas, y aún si se ingresara al análisis de la prueba recabada en la causa, resulta compartible la conclusión de la Sala en cuanto a que “... las partidas reclamadas al producirse el cese del vínculo laboral ya se habían generado y eran exigibles” (fs. 1026).</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Al respecto corresponde tener presente que el Gerente de Recursos Humanos del Banco (hasta diciembre de 2008), Sr. Freddy Kenchkerian, consultado si el bono del año 2007 tuvo alguna particularidad con respecto al período de evaluación, contestó: “se hicieron todas las evaluaciones antes, se cierran el 15 de diciembre y se cerró el 15 de setiembre...se hizo por el 15 de setiembre, se estaba vendiendo el banco” (fs. 760).</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xml:space="preserve">En el mismo sentido que el testigo anterior, lo hizo la Cra. Irene María Silva Derregibus, quien ocupaba el cargo de Gerente Comercial y, consultada sobre si los actores fueron evaluados en el 2007 para el cobro del bono, contestó: “La propuesta del bono con ellos estaba hecha, validada por mi y por el comité de RRHH...Ese año la </w:t>
      </w:r>
      <w:r w:rsidRPr="00965A33">
        <w:rPr>
          <w:rFonts w:ascii="Times New Roman" w:eastAsia="Times New Roman" w:hAnsi="Times New Roman" w:cs="Times New Roman"/>
          <w:sz w:val="24"/>
          <w:szCs w:val="24"/>
          <w:lang w:eastAsia="es-UY"/>
        </w:rPr>
        <w:lastRenderedPageBreak/>
        <w:t>evaluación se adelantaron un poco, por la venta, en el 2008 y creo que en el 2007 también por setiembre u octubre” (fs. 766).</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En consecuencia, partiendo de tales testimonios, resultó acertada la decisión de la Sala en cuanto a que en la medida que el crédito por concepto de bono o gratificación de los actores ya se había generado con anterioridad al cese laboral, correspondía condenar a su pago.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VI.      - Finalmente, se rechazará el agravio referido al desconocimiento de los arts. 17, 18 y 20 del Código Civil.</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En efecto, en primer término, el impugnante no cumplió con lo dispuesto en el art. 273 C.G.P., circunstancia que sería suficiente para desestimar el planteo.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En tal sentido basta citar la opinión del Prof. Vescovi, quien expresa en su valioso estudio sobre “El recurso de casación”: “El requisito fundamental del recurso, se ha dicho, consiste en individualizar el agravio, de modo que a través de los motivos pueda individualizarse, también, la violación de la Ley que lo constituye. En nuestro Derecho la Ley lo exige expresamente, siguiendo el Derecho comparado, y el Tribunal juzgará este requisito al resolver la admisibilidad del recurso...La primera exigencia consiste en citar concretamente cuál es la norma de Derecho que se entiende violada (‘‘infringida’’) o ‘‘erróneamente aplicada’’ (ob. cit., Ed. 1996, pág. 107)” (Cfr. Sentencia No. 543/2000, citada en Sent. No. 6/2007).</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De todas formas, aun soslayando la deficiencia formal anotada precedentemente, el agravio no resulta de recibo.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Infiriendo que la infracción alegada se vincula al concepto de exigibilidad dispuesto por el art. 1502 C.C., en virtud del cual el beneficio del “bonus” se encontraba sometido a la condición de que los funcionarios permanecieran prestando tareas para el banco a dicha fecha, el planteo resulta de rechazo.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xml:space="preserve">Ello, por cuanto, como surge claramente de la probanza citada ut supra, la Institución bancaria los evaluaba año a año, a fin de determinar si eran o no acreedores de tal beneficio, por lo que, en la medida que tanto el Gerente de Recursos Humanos como el </w:t>
      </w:r>
      <w:r w:rsidRPr="00965A33">
        <w:rPr>
          <w:rFonts w:ascii="Times New Roman" w:eastAsia="Times New Roman" w:hAnsi="Times New Roman" w:cs="Times New Roman"/>
          <w:sz w:val="24"/>
          <w:szCs w:val="24"/>
          <w:lang w:eastAsia="es-UY"/>
        </w:rPr>
        <w:lastRenderedPageBreak/>
        <w:t>Gerente Comercial afirmaron que la propuesta del bono del año 2007 ya estaba hecha y validada por las autoridades, procede su pago.</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VII.      - La conducta endoprocesal de las partes ha sido correcta, no dando mérito a especial condenación en gastos procesales en el grado (art. 279 y 56.1 C.G.P., in ordine, art. 688 C.C.).</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Por tales fundamentos, la Suprema Corte de Justicia, por unanimidad,</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FALLA:</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 </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DESESTIMASE EL RECURSO DE CASACION INTERPUESTO, SIN ESPECIAL CONDENACION PROCESAL.</w:t>
      </w:r>
    </w:p>
    <w:p w:rsidR="00965A33" w:rsidRPr="00965A33" w:rsidRDefault="00965A33" w:rsidP="00965A33">
      <w:pPr>
        <w:spacing w:after="0" w:line="240" w:lineRule="auto"/>
        <w:rPr>
          <w:rFonts w:ascii="Times New Roman" w:eastAsia="Times New Roman" w:hAnsi="Times New Roman" w:cs="Times New Roman"/>
          <w:sz w:val="24"/>
          <w:szCs w:val="24"/>
          <w:lang w:eastAsia="es-UY"/>
        </w:rPr>
      </w:pPr>
    </w:p>
    <w:p w:rsidR="00965A33" w:rsidRPr="00965A33" w:rsidRDefault="00965A33" w:rsidP="00965A33">
      <w:pPr>
        <w:spacing w:before="100" w:beforeAutospacing="1" w:after="100" w:afterAutospacing="1" w:line="240" w:lineRule="auto"/>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t>OPORTUNAMENTE, DEVUELVASE.</w:t>
      </w:r>
    </w:p>
    <w:p w:rsidR="00965A33" w:rsidRPr="00965A33" w:rsidRDefault="00965A33" w:rsidP="00965A33">
      <w:pPr>
        <w:spacing w:after="0" w:line="240" w:lineRule="auto"/>
        <w:jc w:val="center"/>
        <w:rPr>
          <w:rFonts w:ascii="Times New Roman" w:eastAsia="Times New Roman" w:hAnsi="Times New Roman" w:cs="Times New Roman"/>
          <w:sz w:val="24"/>
          <w:szCs w:val="24"/>
          <w:lang w:eastAsia="es-UY"/>
        </w:rPr>
      </w:pPr>
      <w:r w:rsidRPr="00965A33">
        <w:rPr>
          <w:rFonts w:ascii="Times New Roman" w:eastAsia="Times New Roman" w:hAnsi="Times New Roman" w:cs="Times New Roman"/>
          <w:sz w:val="24"/>
          <w:szCs w:val="24"/>
          <w:lang w:eastAsia="es-UY"/>
        </w:rPr>
        <w:br/>
      </w:r>
    </w:p>
    <w:p w:rsidR="00965A33" w:rsidRPr="00965A33" w:rsidRDefault="00965A33" w:rsidP="00965A33">
      <w:pPr>
        <w:pBdr>
          <w:bottom w:val="single" w:sz="6" w:space="1" w:color="auto"/>
        </w:pBdr>
        <w:spacing w:after="0" w:line="240" w:lineRule="auto"/>
        <w:jc w:val="center"/>
        <w:rPr>
          <w:rFonts w:ascii="Arial" w:eastAsia="Times New Roman" w:hAnsi="Arial" w:cs="Arial"/>
          <w:vanish/>
          <w:sz w:val="16"/>
          <w:szCs w:val="16"/>
          <w:lang w:eastAsia="es-UY"/>
        </w:rPr>
      </w:pPr>
      <w:r w:rsidRPr="00965A33">
        <w:rPr>
          <w:rFonts w:ascii="Arial" w:eastAsia="Times New Roman" w:hAnsi="Arial" w:cs="Arial"/>
          <w:vanish/>
          <w:sz w:val="16"/>
          <w:szCs w:val="16"/>
          <w:lang w:eastAsia="es-UY"/>
        </w:rPr>
        <w:t>Principio del formulario</w:t>
      </w:r>
    </w:p>
    <w:p w:rsidR="00965A33" w:rsidRPr="00965A33" w:rsidRDefault="00965A33" w:rsidP="00965A33">
      <w:pPr>
        <w:pBdr>
          <w:top w:val="single" w:sz="6" w:space="1" w:color="auto"/>
        </w:pBdr>
        <w:spacing w:after="0" w:line="240" w:lineRule="auto"/>
        <w:jc w:val="center"/>
        <w:rPr>
          <w:rFonts w:ascii="Arial" w:eastAsia="Times New Roman" w:hAnsi="Arial" w:cs="Arial"/>
          <w:vanish/>
          <w:sz w:val="16"/>
          <w:szCs w:val="16"/>
          <w:lang w:eastAsia="es-UY"/>
        </w:rPr>
      </w:pPr>
      <w:r w:rsidRPr="00965A33">
        <w:rPr>
          <w:rFonts w:ascii="Arial" w:eastAsia="Times New Roman" w:hAnsi="Arial" w:cs="Arial"/>
          <w:vanish/>
          <w:sz w:val="16"/>
          <w:szCs w:val="16"/>
          <w:lang w:eastAsia="es-UY"/>
        </w:rPr>
        <w:t>Final del formulario</w:t>
      </w:r>
    </w:p>
    <w:p w:rsidR="00C07C14" w:rsidRDefault="00C07C14"/>
    <w:sectPr w:rsidR="00C07C14" w:rsidSect="00C07C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65A33"/>
    <w:rsid w:val="00965A33"/>
    <w:rsid w:val="00C07C1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65A33"/>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highlight">
    <w:name w:val="highlight"/>
    <w:basedOn w:val="Fuentedeprrafopredeter"/>
    <w:rsid w:val="00965A33"/>
  </w:style>
  <w:style w:type="paragraph" w:styleId="z-Principiodelformulario">
    <w:name w:val="HTML Top of Form"/>
    <w:basedOn w:val="Normal"/>
    <w:next w:val="Normal"/>
    <w:link w:val="z-PrincipiodelformularioCar"/>
    <w:hidden/>
    <w:uiPriority w:val="99"/>
    <w:semiHidden/>
    <w:unhideWhenUsed/>
    <w:rsid w:val="00965A33"/>
    <w:pPr>
      <w:pBdr>
        <w:bottom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965A33"/>
    <w:rPr>
      <w:rFonts w:ascii="Arial" w:eastAsia="Times New Roman" w:hAnsi="Arial" w:cs="Arial"/>
      <w:vanish/>
      <w:sz w:val="16"/>
      <w:szCs w:val="16"/>
      <w:lang w:eastAsia="es-UY"/>
    </w:rPr>
  </w:style>
  <w:style w:type="paragraph" w:styleId="z-Finaldelformulario">
    <w:name w:val="HTML Bottom of Form"/>
    <w:basedOn w:val="Normal"/>
    <w:next w:val="Normal"/>
    <w:link w:val="z-FinaldelformularioCar"/>
    <w:hidden/>
    <w:uiPriority w:val="99"/>
    <w:semiHidden/>
    <w:unhideWhenUsed/>
    <w:rsid w:val="00965A33"/>
    <w:pPr>
      <w:pBdr>
        <w:top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965A33"/>
    <w:rPr>
      <w:rFonts w:ascii="Arial" w:eastAsia="Times New Roman" w:hAnsi="Arial" w:cs="Arial"/>
      <w:vanish/>
      <w:sz w:val="16"/>
      <w:szCs w:val="16"/>
      <w:lang w:eastAsia="es-UY"/>
    </w:rPr>
  </w:style>
</w:styles>
</file>

<file path=word/webSettings.xml><?xml version="1.0" encoding="utf-8"?>
<w:webSettings xmlns:r="http://schemas.openxmlformats.org/officeDocument/2006/relationships" xmlns:w="http://schemas.openxmlformats.org/wordprocessingml/2006/main">
  <w:divs>
    <w:div w:id="1445267213">
      <w:bodyDiv w:val="1"/>
      <w:marLeft w:val="0"/>
      <w:marRight w:val="0"/>
      <w:marTop w:val="0"/>
      <w:marBottom w:val="0"/>
      <w:divBdr>
        <w:top w:val="none" w:sz="0" w:space="0" w:color="auto"/>
        <w:left w:val="none" w:sz="0" w:space="0" w:color="auto"/>
        <w:bottom w:val="none" w:sz="0" w:space="0" w:color="auto"/>
        <w:right w:val="none" w:sz="0" w:space="0" w:color="auto"/>
      </w:divBdr>
      <w:divsChild>
        <w:div w:id="1069814988">
          <w:marLeft w:val="0"/>
          <w:marRight w:val="0"/>
          <w:marTop w:val="0"/>
          <w:marBottom w:val="0"/>
          <w:divBdr>
            <w:top w:val="none" w:sz="0" w:space="0" w:color="auto"/>
            <w:left w:val="none" w:sz="0" w:space="0" w:color="auto"/>
            <w:bottom w:val="none" w:sz="0" w:space="0" w:color="auto"/>
            <w:right w:val="none" w:sz="0" w:space="0" w:color="auto"/>
          </w:divBdr>
          <w:divsChild>
            <w:div w:id="817839355">
              <w:marLeft w:val="0"/>
              <w:marRight w:val="0"/>
              <w:marTop w:val="0"/>
              <w:marBottom w:val="0"/>
              <w:divBdr>
                <w:top w:val="none" w:sz="0" w:space="0" w:color="auto"/>
                <w:left w:val="none" w:sz="0" w:space="0" w:color="auto"/>
                <w:bottom w:val="none" w:sz="0" w:space="0" w:color="auto"/>
                <w:right w:val="none" w:sz="0" w:space="0" w:color="auto"/>
              </w:divBdr>
              <w:divsChild>
                <w:div w:id="1326401799">
                  <w:marLeft w:val="0"/>
                  <w:marRight w:val="0"/>
                  <w:marTop w:val="0"/>
                  <w:marBottom w:val="0"/>
                  <w:divBdr>
                    <w:top w:val="none" w:sz="0" w:space="0" w:color="auto"/>
                    <w:left w:val="none" w:sz="0" w:space="0" w:color="auto"/>
                    <w:bottom w:val="none" w:sz="0" w:space="0" w:color="auto"/>
                    <w:right w:val="none" w:sz="0" w:space="0" w:color="auto"/>
                  </w:divBdr>
                </w:div>
              </w:divsChild>
            </w:div>
            <w:div w:id="1463184613">
              <w:marLeft w:val="0"/>
              <w:marRight w:val="0"/>
              <w:marTop w:val="0"/>
              <w:marBottom w:val="0"/>
              <w:divBdr>
                <w:top w:val="none" w:sz="0" w:space="0" w:color="auto"/>
                <w:left w:val="none" w:sz="0" w:space="0" w:color="auto"/>
                <w:bottom w:val="none" w:sz="0" w:space="0" w:color="auto"/>
                <w:right w:val="none" w:sz="0" w:space="0" w:color="auto"/>
              </w:divBdr>
              <w:divsChild>
                <w:div w:id="180820391">
                  <w:marLeft w:val="0"/>
                  <w:marRight w:val="0"/>
                  <w:marTop w:val="0"/>
                  <w:marBottom w:val="0"/>
                  <w:divBdr>
                    <w:top w:val="none" w:sz="0" w:space="0" w:color="auto"/>
                    <w:left w:val="none" w:sz="0" w:space="0" w:color="auto"/>
                    <w:bottom w:val="none" w:sz="0" w:space="0" w:color="auto"/>
                    <w:right w:val="none" w:sz="0" w:space="0" w:color="auto"/>
                  </w:divBdr>
                </w:div>
                <w:div w:id="9063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2532</Words>
  <Characters>13928</Characters>
  <Application>Microsoft Office Word</Application>
  <DocSecurity>0</DocSecurity>
  <Lines>116</Lines>
  <Paragraphs>32</Paragraphs>
  <ScaleCrop>false</ScaleCrop>
  <Company/>
  <LinksUpToDate>false</LinksUpToDate>
  <CharactersWithSpaces>16428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2</cp:revision>
  <dcterms:created xsi:type="dcterms:W3CDTF">2014-03-31T21:27:00Z</dcterms:created>
  <dcterms:modified xsi:type="dcterms:W3CDTF">2014-03-31T21:27:00Z</dcterms:modified>
</cp:coreProperties>
</file>