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spacing w:line="480" w:lineRule="atLeast"/>
      </w:pPr>
      <w:r>
        <w:rPr>
          <w:b/>
          <w:bCs/>
          <w:rFonts w:ascii="Courier" w:cs="Courier New" w:hAnsi="Courier"/>
        </w:rPr>
        <w:t>SENTENCIA DEFINITIVA Nº 136 /2012</w:t>
      </w:r>
    </w:p>
    <w:p>
      <w:pPr>
        <w:pStyle w:val="style0"/>
        <w:jc w:val="both"/>
        <w:spacing w:line="480" w:lineRule="atLeast"/>
      </w:pPr>
      <w:r>
        <w:rPr>
          <w:b/>
          <w:bCs/>
          <w:rFonts w:ascii="Courier" w:cs="Courier New" w:hAnsi="Courier"/>
        </w:rPr>
        <w:t>TRIBUNAL DE APELACIONES DEL TRABAJO DE 2º TURNO</w:t>
      </w:r>
    </w:p>
    <w:p>
      <w:pPr>
        <w:pStyle w:val="style0"/>
        <w:jc w:val="both"/>
        <w:spacing w:line="480" w:lineRule="atLeast"/>
      </w:pPr>
      <w:r>
        <w:rPr>
          <w:b/>
          <w:bCs/>
          <w:rFonts w:ascii="Courier" w:cs="Courier New" w:hAnsi="Courier"/>
        </w:rPr>
        <w:t xml:space="preserve">MINISTRO REDACTOR: DR. JOSE ECHEVESTE COSTA </w:t>
      </w:r>
    </w:p>
    <w:p>
      <w:pPr>
        <w:pStyle w:val="style0"/>
        <w:jc w:val="both"/>
        <w:spacing w:line="480" w:lineRule="atLeast"/>
      </w:pPr>
      <w:r>
        <w:rPr>
          <w:b/>
          <w:bCs/>
          <w:rFonts w:ascii="Courier" w:cs="Courier New" w:hAnsi="Courier"/>
        </w:rPr>
        <w:t>MINISTROS FIRMANTES: DR. LUIS TOSI BOERI, DRA. NANCI CORRALES GARCIA, DR. JOSE ECHEVESTE COSTA</w:t>
      </w:r>
    </w:p>
    <w:p>
      <w:pPr>
        <w:pStyle w:val="style0"/>
        <w:jc w:val="both"/>
        <w:spacing w:line="480" w:lineRule="atLeast"/>
      </w:pPr>
      <w:r>
        <w:rPr>
          <w:rFonts w:ascii="Courier" w:cs="Courier New" w:hAnsi="Courier"/>
        </w:rPr>
        <w:t xml:space="preserve">            </w:t>
      </w:r>
    </w:p>
    <w:p>
      <w:pPr>
        <w:pStyle w:val="style0"/>
        <w:jc w:val="both"/>
        <w:spacing w:line="480" w:lineRule="atLeast"/>
      </w:pPr>
      <w:r>
        <w:rPr>
          <w:rFonts w:ascii="Courier" w:cs="Courier New" w:hAnsi="Courier"/>
        </w:rPr>
        <w:tab/>
        <w:tab/>
        <w:tab/>
        <w:tab/>
        <w:t xml:space="preserve">   Montevideo,  25   de  abril de 2012.</w:t>
      </w:r>
    </w:p>
    <w:p>
      <w:pPr>
        <w:pStyle w:val="style0"/>
        <w:jc w:val="both"/>
        <w:spacing w:line="480" w:lineRule="atLeast"/>
      </w:pPr>
      <w:r>
        <w:rPr>
          <w:i/>
          <w:u w:val="single"/>
          <w:b/>
          <w:rFonts w:ascii="Courier" w:cs="Courier New" w:hAnsi="Courier"/>
        </w:rPr>
      </w:r>
    </w:p>
    <w:p>
      <w:pPr>
        <w:pStyle w:val="style0"/>
        <w:jc w:val="both"/>
        <w:spacing w:line="480" w:lineRule="atLeast"/>
      </w:pPr>
      <w:r>
        <w:rPr>
          <w:i/>
          <w:u w:val="single"/>
          <w:b/>
          <w:rFonts w:ascii="Courier" w:cs="Courier New" w:hAnsi="Courier"/>
        </w:rPr>
        <w:t>VISTOS EN EL ACUERDO:</w:t>
      </w:r>
    </w:p>
    <w:p>
      <w:pPr>
        <w:pStyle w:val="style0"/>
        <w:jc w:val="both"/>
        <w:spacing w:line="480" w:lineRule="atLeast"/>
      </w:pPr>
      <w:r>
        <w:rPr>
          <w:b/>
          <w:rFonts w:ascii="Courier" w:cs="Courier New" w:hAnsi="Courier"/>
        </w:rPr>
        <w:tab/>
        <w:tab/>
        <w:tab/>
        <w:tab/>
        <w:tab/>
      </w:r>
      <w:r>
        <w:rPr>
          <w:rFonts w:ascii="Courier" w:cs="Courier New" w:hAnsi="Courier"/>
        </w:rPr>
        <w:t>Estos autos caratulados “BARRO FERNANDEZ, ROSANA GABRIELA C/ COOPERATIVA MEDICA DE RIVERA (COMERI)” IUE 330-75/2010, venidos en apelación del Juzgado Letrado de Primera Instancia de Rivera de 4º Turno.</w:t>
      </w:r>
    </w:p>
    <w:p>
      <w:pPr>
        <w:pStyle w:val="style0"/>
        <w:jc w:val="both"/>
        <w:spacing w:line="480" w:lineRule="atLeast"/>
      </w:pPr>
      <w:r>
        <w:rPr>
          <w:i/>
          <w:u w:val="single"/>
          <w:b/>
          <w:rFonts w:ascii="Courier" w:cs="Courier New" w:hAnsi="Courier"/>
        </w:rPr>
        <w:t>RESULTANDO:</w:t>
      </w:r>
    </w:p>
    <w:p>
      <w:pPr>
        <w:pStyle w:val="style0"/>
        <w:jc w:val="both"/>
        <w:spacing w:line="480" w:lineRule="atLeast"/>
      </w:pPr>
      <w:r>
        <w:rPr>
          <w:rFonts w:ascii="Courier" w:cs="Courier New" w:hAnsi="Courier"/>
        </w:rPr>
        <w:tab/>
        <w:tab/>
        <w:tab/>
        <w:t>1) La Sala acepta el relato de antecedentes procesales que se consignan en la sentencia apelada procediendo al dictado de la presente.</w:t>
        <w:tab/>
      </w:r>
    </w:p>
    <w:p>
      <w:pPr>
        <w:pStyle w:val="style0"/>
        <w:jc w:val="both"/>
        <w:spacing w:line="480" w:lineRule="atLeast"/>
      </w:pPr>
      <w:r>
        <w:rPr>
          <w:rFonts w:ascii="Courier" w:cs="Courier New" w:hAnsi="Courier"/>
        </w:rPr>
        <w:tab/>
        <w:tab/>
        <w:tab/>
        <w:t>2) Por sentencia Definitiva de Primera Instancia Nº 89/2011, dictada fuera de audiencia con fecha 1 de diciembre de 2011, se acogió parcialmente la demanda y en su mérito condenó a la Cooperativa Médica de Rivera (Comeri) a abonar a la actora Sra. Rosana Gabriela Barro Fernández por su actividad como podóloga y de acuerdo a lo que resulta de los respectivos considerandos, los rubros licencia, salario vacacional, aguinaldo, indemnización por despido, más 15% por concepto de daños y perjuicios preceptivos sobre rubros de naturaleza salarial, más la multa prevista en el artículo 29 de la Ley 18.572, más intereses y reajustes hasta la fecha del efectivo pago, suma total que reajustada y actualizada a octubre de 2011 asciende a $ 57.152. Desestimó la demanda respecto de la actividad de podóloga de los rubros viáticos e indemnización por despido abusivo. Condenó a la Cooperativa Médica de Rivera (Comeri) a abonar a la actora por su actividad como licenciada en enfermería de acuerdo a lo que surge de los respectivos considerandos, los rubros descansos intermedios e incidencias, horas extras e incidencias e indemnización por despido, más 15% por concepto de daños y perjuicios preceptivos sobre rubros salariales, más la multa prevista en el artículo 29 de la Ley 18.572, más intereses y reajustes hasta la fecha del efectivo pago, suma total que reajustada y actualizada a octubre de 2011 asciende a $ 762.628. Sin especial sanción en el grado. Honorarios fictos, 3 BPC (fs. 687 a 719 vto.).</w:t>
      </w:r>
    </w:p>
    <w:p>
      <w:pPr>
        <w:pStyle w:val="style0"/>
        <w:jc w:val="both"/>
        <w:spacing w:line="480" w:lineRule="atLeast"/>
      </w:pPr>
      <w:r>
        <w:rPr>
          <w:rFonts w:ascii="Courier" w:cs="Courier New" w:hAnsi="Courier"/>
        </w:rPr>
        <w:tab/>
        <w:tab/>
        <w:tab/>
        <w:t>3) La parte demandada interpuso el recurso de apelación contra la sentencia definitiva, agraviándose en los siguientes puntos: a) vínculo contractual como podóloga; b) licencia, salario vacacional y aguinaldo como podóloga; c) despido como podóloga; d) descansos intermedios como nurse; e) horas extras como nurse; f) despido como nurse, notoria mala conducta; g) rescisión suscrita por la actora; h) daños y perjuicios; i) multa del art. 29 de la Ley 18.572 (fs. 720 a 747 vto.).</w:t>
      </w:r>
    </w:p>
    <w:p>
      <w:pPr>
        <w:pStyle w:val="style0"/>
        <w:jc w:val="both"/>
        <w:spacing w:line="480" w:lineRule="atLeast"/>
      </w:pPr>
      <w:r>
        <w:rPr>
          <w:rFonts w:ascii="Courier" w:cs="Courier New" w:hAnsi="Courier"/>
        </w:rPr>
        <w:tab/>
        <w:tab/>
        <w:tab/>
        <w:t>4) Por decreto Nº 6002/2011 de 7 de diciembre de 2011 se confirió traslado a la parte actora por el término legal (fs. 748), el que fue evacuado de fs. 750 a 765 vto.</w:t>
      </w:r>
    </w:p>
    <w:p>
      <w:pPr>
        <w:pStyle w:val="style0"/>
        <w:jc w:val="both"/>
        <w:spacing w:line="480" w:lineRule="atLeast"/>
      </w:pPr>
      <w:r>
        <w:rPr>
          <w:rFonts w:ascii="Courier" w:cs="Courier New" w:hAnsi="Courier"/>
        </w:rPr>
        <w:tab/>
        <w:tab/>
        <w:tab/>
        <w:t xml:space="preserve">5) Por decreto Nº 6164/2012 de fecha 14 de diciembre de 2011 se franqueó la alzada (fs. 767). </w:t>
      </w:r>
    </w:p>
    <w:p>
      <w:pPr>
        <w:pStyle w:val="style0"/>
        <w:jc w:val="both"/>
        <w:spacing w:line="480" w:lineRule="atLeast"/>
      </w:pPr>
      <w:r>
        <w:rPr>
          <w:rFonts w:ascii="Courier" w:cs="Courier New" w:hAnsi="Courier"/>
        </w:rPr>
        <w:tab/>
        <w:tab/>
        <w:tab/>
        <w:t>6) Llegados los autos al Tribunal con fecha 19 de marzo de 2012 se señaló fecha de acuerdo (art 17 Ley 18.572) y se dispuso el pase a estudio (fs. 769).</w:t>
      </w:r>
      <w:r>
        <w:rPr>
          <w:rFonts w:ascii="Courier" w:hAnsi="Courier"/>
        </w:rPr>
        <w:t xml:space="preserve">                                                                                        </w:t>
      </w:r>
    </w:p>
    <w:p>
      <w:pPr>
        <w:pStyle w:val="style0"/>
        <w:jc w:val="both"/>
        <w:tabs>
          <w:tab w:leader="none" w:pos="5040" w:val="left"/>
        </w:tabs>
        <w:spacing w:line="480" w:lineRule="atLeast"/>
      </w:pPr>
      <w:r>
        <w:rPr>
          <w:b/>
          <w:rFonts w:ascii="Courier" w:hAnsi="Courier"/>
        </w:rPr>
        <w:t>CONSIDERANDO:</w:t>
      </w:r>
    </w:p>
    <w:p>
      <w:pPr>
        <w:pStyle w:val="style22"/>
        <w:jc w:val="both"/>
        <w:tabs>
          <w:tab w:leader="none" w:pos="708" w:val="left"/>
        </w:tabs>
        <w:spacing w:line="480" w:lineRule="atLeast"/>
      </w:pPr>
      <w:r>
        <w:rPr/>
        <w:tab/>
        <w:tab/>
        <w:tab/>
        <w:t>I)</w:t>
      </w:r>
      <w:r>
        <w:rPr>
          <w:rFonts w:ascii="Courier" w:hAnsi="Courier"/>
        </w:rPr>
        <w:t xml:space="preserve"> La actora, ROSANA GABRIELA BARRO FERNANDEZ, manifestó en su libelo introductorio de demanda que trabajó como licenciada en enfermería y técnico podóloga, en períodos, horarios y con forma de remuneración diferentes. Ingresó como licenciada en enfermería el 1/1996 y egresó por despido el 28/5/2009. </w:t>
      </w:r>
    </w:p>
    <w:p>
      <w:pPr>
        <w:pStyle w:val="style22"/>
        <w:jc w:val="both"/>
        <w:tabs>
          <w:tab w:leader="none" w:pos="708" w:val="left"/>
        </w:tabs>
        <w:spacing w:line="480" w:lineRule="atLeast"/>
      </w:pPr>
      <w:r>
        <w:rPr>
          <w:rFonts w:ascii="Courier" w:hAnsi="Courier"/>
        </w:rPr>
        <w:tab/>
        <w:tab/>
        <w:tab/>
        <w:t xml:space="preserve">En cambio en la tarea de técnico podóloga ingresó el 21/4/2006. Y egresó por despido el 14/7/2009. Las tareas de licenciada de enfermería las desarrollaba en un horario rotativo de seis horas diarias durante seis días en la semana. Las tareas de podóloga las desarrollaba en su consultorio particular debiendo atender los pacientes que le indicaba la demandada y en forma mensuales las policlínicas de </w:t>
      </w:r>
    </w:p>
    <w:p>
      <w:pPr>
        <w:pStyle w:val="style22"/>
        <w:jc w:val="both"/>
        <w:tabs>
          <w:tab w:leader="none" w:pos="708" w:val="left"/>
        </w:tabs>
        <w:spacing w:line="480" w:lineRule="atLeast"/>
      </w:pPr>
      <w:r>
        <w:rPr>
          <w:rFonts w:ascii="Courier" w:hAnsi="Courier"/>
        </w:rPr>
        <w:t>diabéticos ubicadas en Tranqueras, Vichadero y Minas de Corrales. (FS 116).</w:t>
      </w:r>
    </w:p>
    <w:p>
      <w:pPr>
        <w:pStyle w:val="style22"/>
        <w:jc w:val="both"/>
        <w:tabs>
          <w:tab w:leader="none" w:pos="708" w:val="left"/>
        </w:tabs>
        <w:spacing w:line="480" w:lineRule="atLeast"/>
      </w:pPr>
      <w:r>
        <w:rPr>
          <w:rFonts w:ascii="Courier" w:hAnsi="Courier"/>
        </w:rPr>
        <w:tab/>
        <w:tab/>
        <w:t xml:space="preserve">La parte demandada al contestar la demanda manifestó </w:t>
      </w:r>
    </w:p>
    <w:p>
      <w:pPr>
        <w:pStyle w:val="style22"/>
        <w:jc w:val="both"/>
        <w:tabs>
          <w:tab w:leader="none" w:pos="708" w:val="left"/>
        </w:tabs>
        <w:spacing w:line="480" w:lineRule="atLeast"/>
      </w:pPr>
      <w:r>
        <w:rPr>
          <w:rFonts w:ascii="Courier" w:hAnsi="Courier"/>
        </w:rPr>
        <w:t>que como técnico podóloga se arriendan sus servicios desde febrero de 2006 (fs 366).</w:t>
      </w:r>
    </w:p>
    <w:p>
      <w:pPr>
        <w:pStyle w:val="style22"/>
        <w:jc w:val="both"/>
        <w:tabs>
          <w:tab w:leader="none" w:pos="708" w:val="left"/>
        </w:tabs>
        <w:spacing w:line="480" w:lineRule="atLeast"/>
      </w:pPr>
      <w:r>
        <w:rPr>
          <w:rFonts w:ascii="Courier" w:hAnsi="Courier"/>
        </w:rPr>
        <w:tab/>
        <w:tab/>
        <w:t>En el caso el vínculo entre las partes se inicia porque la parte actora lo propone al recibirse de podóloga, con, los problemas que trataría y como se abonaría según un arancel preestablecido y las demansdaada lo aceptó en un claro arrendamiento de servicios. Obviamente luego la tarea se plantea con el control del arrendador porque se realizaba respecto a sus pacientes aunque también se podían asistir particulares. Lo que queda claro es que las tareas que realizaba en la institución como podóloga se las pagaban el recibo ya que como nurse especializada en la higiene del pie diabético valoró esa capacitación y la apelante explica muy bien en su recurrencia como eran esas funciones y las de afuera por recibos por honorario porque era a destajo.</w:t>
      </w:r>
    </w:p>
    <w:p>
      <w:pPr>
        <w:pStyle w:val="style22"/>
        <w:jc w:val="both"/>
        <w:tabs>
          <w:tab w:leader="none" w:pos="708" w:val="left"/>
        </w:tabs>
        <w:spacing w:line="480" w:lineRule="atLeast"/>
      </w:pPr>
      <w:r>
        <w:rPr>
          <w:rFonts w:ascii="Courier" w:hAnsi="Courier"/>
        </w:rPr>
        <w:tab/>
        <w:tab/>
        <w:tab/>
        <w:t>Muy buena la apelación a fs 720 a 729 que demuestran la inexistencia de la relación laboral. Además no se puede soslayar que estamos en presencia de una profesional médica con un salario, por las dos funciones que ella entiende laboral, cercano a los 20.000 y reclama la astronómica suma de $ 794.803 pesos, que más allá que acudir al bloqué constitucional de los derechos humanos laborales, muy mal le hace al Derecho Laboral, que si bien nació con una finalidad  protectora hacia la parte más débil de la relación labora, el trabajador,  se están  repitiendo estas demandas al menos no lógicas.</w:t>
      </w:r>
    </w:p>
    <w:p>
      <w:pPr>
        <w:pStyle w:val="style22"/>
        <w:jc w:val="both"/>
        <w:tabs>
          <w:tab w:leader="none" w:pos="708" w:val="left"/>
        </w:tabs>
        <w:spacing w:line="480" w:lineRule="atLeast"/>
      </w:pPr>
      <w:r>
        <w:rPr>
          <w:b/>
          <w:rFonts w:ascii="Courier" w:hAnsi="Courier"/>
        </w:rPr>
        <w:tab/>
        <w:tab/>
        <w:tab/>
        <w:t xml:space="preserve">II) </w:t>
      </w:r>
      <w:r>
        <w:rPr>
          <w:rFonts w:ascii="Courier" w:hAnsi="Courier"/>
        </w:rPr>
        <w:t>En consecuencia corresponde también  recibir los agravios respecto a los rubros licencia, salario vacacional</w:t>
      </w:r>
    </w:p>
    <w:p>
      <w:pPr>
        <w:pStyle w:val="style22"/>
        <w:jc w:val="both"/>
        <w:tabs>
          <w:tab w:leader="none" w:pos="708" w:val="left"/>
        </w:tabs>
        <w:spacing w:line="480" w:lineRule="atLeast"/>
      </w:pPr>
      <w:r>
        <w:rPr>
          <w:rFonts w:ascii="Courier" w:hAnsi="Courier"/>
        </w:rPr>
        <w:t>y despido como podóloga de cuyas condenas corresponde absolver a la parte demandada.</w:t>
      </w:r>
    </w:p>
    <w:p>
      <w:pPr>
        <w:pStyle w:val="style22"/>
        <w:jc w:val="both"/>
        <w:tabs>
          <w:tab w:leader="none" w:pos="708" w:val="left"/>
        </w:tabs>
        <w:spacing w:line="480" w:lineRule="atLeast"/>
      </w:pPr>
      <w:r>
        <w:rPr>
          <w:b/>
          <w:rFonts w:ascii="Courier" w:hAnsi="Courier"/>
        </w:rPr>
        <w:tab/>
        <w:tab/>
        <w:tab/>
        <w:t>III)</w:t>
      </w:r>
      <w:r>
        <w:rPr>
          <w:rFonts w:ascii="Courier" w:hAnsi="Courier"/>
        </w:rPr>
        <w:t xml:space="preserve"> Con relación al rubro descanso intermedio en la función de nurse también se recibirá. La demanda es un acto jurídico de importancia, que permite las defensas del demandado, fijar el objeto del proceso y al juez fallar de acuerdo al principio de congruencia. </w:t>
      </w:r>
    </w:p>
    <w:p>
      <w:pPr>
        <w:pStyle w:val="style22"/>
        <w:jc w:val="both"/>
        <w:tabs>
          <w:tab w:leader="none" w:pos="708" w:val="left"/>
        </w:tabs>
        <w:spacing w:line="480" w:lineRule="atLeast"/>
      </w:pPr>
      <w:r>
        <w:rPr>
          <w:rFonts w:ascii="Courier" w:hAnsi="Courier"/>
        </w:rPr>
        <w:tab/>
        <w:tab/>
        <w:tab/>
        <w:t>En el caso se expresó por la actora que durante toda la relación laboral no gozó de los descansos intermedios (Fs 116 Vto.), o sea que no expresó que si bien pudo tomar un tiempo para descansar no lo hizo en legal forma lo que son dos cosas muy diferentes. En su declaración de parte dijo “la media hora de descanso era si la podíamos gozar, yo, les iba diciendo o asignando a cada uno a medida que la tarea iba quedando más leve, o que se tomara 15 minutos y le dejaran 15 minutos al compañero “(fs 614). Pues si le indicaba a, los compañeros, menos problema tenía ella para descansar que dependía de su libre albedrío. Nada de ello se expresó en la demanda. Y  esa demanda,  en este punto, apenas está fundada, prácticamente no se cumple con la carga de la afirmación, siendo este otro aspecto muy frecuente, como si el derecho laboral escapara del derecho procesal, lo que es inaceptable</w:t>
      </w:r>
      <w:r>
        <w:rPr>
          <w:rFonts w:ascii="Courier" w:cs="Arial" w:hAnsi="Courier"/>
        </w:rPr>
        <w:t xml:space="preserve"> y relativo a las cargas de afirmación, se ha  expresado: </w:t>
      </w:r>
    </w:p>
    <w:p>
      <w:pPr>
        <w:pStyle w:val="style0"/>
        <w:jc w:val="both"/>
        <w:spacing w:line="480" w:lineRule="atLeast"/>
      </w:pPr>
      <w:r>
        <w:rPr>
          <w:rFonts w:ascii="Courier" w:cs="Arial" w:hAnsi="Courier"/>
        </w:rPr>
        <w:t>“</w:t>
      </w:r>
      <w:r>
        <w:rPr>
          <w:rFonts w:ascii="Courier" w:cs="Arial" w:hAnsi="Courier"/>
        </w:rPr>
        <w:t xml:space="preserve">...Que las partes en el proceso están gravadas por cargas de afirmación y contradicción que tienen relación con el derecho de defensa, los principios de igualdad, lealtad probidad y buena fe, también con el de congruencia (arts.117, 197,198 C.G.P.- Código General del Proceso. Comentado- Obra Colectiva, T 3, págs 105  ss. . Odriozola, “La interpretación de la demanda”, Judicatura, Nº 10, pág. 247) </w:t>
      </w:r>
    </w:p>
    <w:p>
      <w:pPr>
        <w:pStyle w:val="style0"/>
        <w:jc w:val="both"/>
        <w:spacing w:line="480" w:lineRule="atLeast"/>
      </w:pPr>
      <w:r>
        <w:rPr>
          <w:rFonts w:ascii="Courier" w:cs="Arial" w:hAnsi="Courier"/>
        </w:rPr>
        <w:tab/>
        <w:tab/>
        <w:tab/>
        <w:t>La actora no puede beneficiarse de las imprecisiones y oscuridades de las demandas principal e incidental… “Tribunal de Apelaciones en lo Civil de 4 Turno. Turell (r) Larrieux, Tobía. Sent. nº 4/2007 del 7/2/2007. En Revista Uruguaya de Derecho Procesal 1-2/2009.Anuario de Jurisprudencia de Derecho Procesal. 2007- 2008. Caso 246 pág.136.).</w:t>
      </w:r>
    </w:p>
    <w:p>
      <w:pPr>
        <w:pStyle w:val="style0"/>
        <w:jc w:val="both"/>
        <w:spacing w:line="480" w:lineRule="atLeast"/>
      </w:pPr>
      <w:r>
        <w:rPr>
          <w:rFonts w:ascii="Courier" w:cs="Arial" w:hAnsi="Courier"/>
        </w:rPr>
        <w:t>“</w:t>
      </w:r>
      <w:r>
        <w:rPr>
          <w:rFonts w:ascii="Courier" w:cs="Arial" w:hAnsi="Courier"/>
        </w:rPr>
        <w:t>Comentando la norma mencionada se expresa en el Código General del Proceso (obra colectiva dirigida por el Prof .Véscovi): “La ley exige al demandado la formulación de una respuesta categórica sobre la veracidad de los hechos alegados en la demanda.</w:t>
      </w:r>
    </w:p>
    <w:p>
      <w:pPr>
        <w:pStyle w:val="style0"/>
        <w:jc w:val="both"/>
        <w:spacing w:line="480" w:lineRule="atLeast"/>
      </w:pPr>
      <w:r>
        <w:rPr>
          <w:rFonts w:ascii="Courier" w:cs="Arial" w:hAnsi="Courier"/>
        </w:rPr>
        <w:tab/>
        <w:tab/>
        <w:tab/>
        <w:t>Entendemos por tal un pronunciamiento claro preciso y circunstanciado, respecto de  cada uno de los hechos esenciales sobre los que versa el litigio, quedando fuera la circunstancias  de  detalle incluida por el actor en su exposición.</w:t>
      </w:r>
    </w:p>
    <w:p>
      <w:pPr>
        <w:pStyle w:val="style0"/>
        <w:jc w:val="both"/>
        <w:spacing w:line="480" w:lineRule="atLeast"/>
      </w:pPr>
      <w:r>
        <w:rPr>
          <w:rFonts w:ascii="Courier" w:cs="Arial" w:hAnsi="Courier"/>
        </w:rPr>
        <w:tab/>
        <w:tab/>
        <w:tab/>
        <w:t xml:space="preserve">Esta exigencia no constituye  sino la contracara de la carga de afirmación  prevista en el art. 117, núm 4, para el actor, extensible al demandado en función del art. 130.1, puesto que los requerimientos de claridad, precisión y buena  fe  resultan capitales en todo acto de proposición…” (Sentencia de la Suprema Corte de Justicia nº 7 de 12 de febrero de 2003). </w:t>
      </w:r>
    </w:p>
    <w:p>
      <w:pPr>
        <w:pStyle w:val="style0"/>
        <w:jc w:val="both"/>
        <w:spacing w:line="480" w:lineRule="atLeast"/>
      </w:pPr>
      <w:r>
        <w:rPr>
          <w:rFonts w:ascii="Courier" w:cs="Arial" w:hAnsi="Courier"/>
        </w:rPr>
        <w:tab/>
        <w:tab/>
        <w:tab/>
        <w:t>Asimismo expresó el Tribunal de Apelaciones en lo Civil de 3 Turno.</w:t>
      </w:r>
    </w:p>
    <w:p>
      <w:pPr>
        <w:pStyle w:val="style0"/>
        <w:jc w:val="both"/>
        <w:spacing w:line="480" w:lineRule="atLeast"/>
      </w:pPr>
      <w:r>
        <w:rPr>
          <w:rFonts w:ascii="Courier" w:cs="Arial" w:hAnsi="Courier"/>
        </w:rPr>
        <w:t>“</w:t>
      </w:r>
      <w:r>
        <w:rPr>
          <w:rFonts w:ascii="Courier" w:cs="Arial" w:hAnsi="Courier"/>
        </w:rPr>
        <w:t xml:space="preserve">Como ha sostenido la sala anteriormente, la demanda que adolece de serios defectos de las condiciones esenciales de exactitud, claridad y precisión (art. 117  num.4 CGP) permite concluir liminarmente en la improponibilidad de las pretensiones deducidas por el promotor. </w:t>
      </w:r>
    </w:p>
    <w:p>
      <w:pPr>
        <w:pStyle w:val="style0"/>
        <w:jc w:val="both"/>
        <w:spacing w:line="480" w:lineRule="atLeast"/>
      </w:pPr>
      <w:r>
        <w:rPr>
          <w:rFonts w:ascii="Courier" w:cs="Arial" w:hAnsi="Courier"/>
        </w:rPr>
        <w:t>Barrios de Angelis habla de la carencia inmediatamente perceptible de elementos (subjetiva u objetiva), que hacen prácticamente inconcebible el éxito de esta (El Proceso Civil Pág.131).</w:t>
      </w:r>
    </w:p>
    <w:p>
      <w:pPr>
        <w:pStyle w:val="style0"/>
        <w:jc w:val="both"/>
        <w:spacing w:line="480" w:lineRule="atLeast"/>
      </w:pPr>
      <w:r>
        <w:rPr>
          <w:rFonts w:ascii="Courier" w:cs="Arial" w:hAnsi="Courier"/>
        </w:rPr>
        <w:tab/>
        <w:tab/>
        <w:tab/>
        <w:t xml:space="preserve">Como se expresara en sentencia del Tribunal Nº 72/95-con cita de Gallinal- la demanda es la base fundamental sobre la que debe levantarse y concluirse el juicio. </w:t>
      </w:r>
    </w:p>
    <w:p>
      <w:pPr>
        <w:pStyle w:val="style0"/>
        <w:jc w:val="both"/>
        <w:spacing w:line="480" w:lineRule="atLeast"/>
      </w:pPr>
      <w:r>
        <w:rPr>
          <w:bCs/>
          <w:rFonts w:ascii="Courier" w:cs="Arial" w:hAnsi="Courier"/>
        </w:rPr>
        <w:t>Una vez interpuesta y contestada, no admite alteraciones ni enmiendas, ni agregaciones en lo sustancial de las  acciones o  de los hechos, por mas que eso contribuyese a  aclararla o favorecerla (Estudios Sobre el Código de Procedimiento Civil .Comentarios de los arts. 283 a 326,  año 1924, pág. 71).”</w:t>
      </w:r>
    </w:p>
    <w:p>
      <w:pPr>
        <w:pStyle w:val="style0"/>
        <w:jc w:val="both"/>
        <w:spacing w:line="480" w:lineRule="atLeast"/>
      </w:pPr>
      <w:r>
        <w:rPr>
          <w:rFonts w:ascii="Courier" w:cs="Arial" w:hAnsi="Courier"/>
        </w:rPr>
        <w:t xml:space="preserve"> “</w:t>
      </w:r>
      <w:r>
        <w:rPr>
          <w:rFonts w:ascii="Courier" w:cs="Arial" w:hAnsi="Courier"/>
        </w:rPr>
        <w:t>En sentencia de  la Sala de Primer  Turno publicada en LJU, t 79, N 9024, convocando la opinión de Guasp se agrega que forma del contenido de la demanda  no  solamente la pretensión  procesal sino también los datos que han de servir para compararla con el derecho objetivo y citando a Goldscmidt, que la interposición de la demanda determina el objeto litigioso sobre el que se ha de  valorar el proceso.</w:t>
      </w:r>
    </w:p>
    <w:p>
      <w:pPr>
        <w:pStyle w:val="style0"/>
        <w:jc w:val="both"/>
        <w:spacing w:line="480" w:lineRule="atLeast"/>
      </w:pPr>
      <w:r>
        <w:rPr>
          <w:rFonts w:ascii="Courier" w:cs="Arial" w:hAnsi="Courier"/>
        </w:rPr>
        <w:tab/>
        <w:tab/>
        <w:tab/>
        <w:t>En el caso se impetró reconvención por daños y perjuicios sin invocarse concretamente dicho elemento ni realizarse un relato fáctico del daño supuestamente causado por esa medida, carencia que no se cumplen con afirmaciones genéricas, consecuentemente se ha de concluir que las graves imperfecciones reseñadas constituyen obstáculos procesales insalvables para la  admisión de la pretensión movilizada (Chalar(r), Klettt, Minvielle. Sentencia 28/ 99 en Revista Uruguaya de Derecho Procesal 4 2000. Caso 206  páginas 603 604).</w:t>
      </w:r>
    </w:p>
    <w:p>
      <w:pPr>
        <w:pStyle w:val="style0"/>
        <w:jc w:val="both"/>
        <w:spacing w:line="480" w:lineRule="atLeast"/>
      </w:pPr>
      <w:r>
        <w:rPr>
          <w:rFonts w:ascii="Courier" w:hAnsi="Courier"/>
        </w:rPr>
        <w:t xml:space="preserve"> </w:t>
      </w:r>
      <w:r>
        <w:rPr>
          <w:rFonts w:ascii="Courier" w:hAnsi="Courier"/>
        </w:rPr>
        <w:t>Y el Tribunal de Apelaciones en lo Civil de 5 turno: “En el caso, por amplio que se fuere en la interpretación de los hechos constitutivos de la pretensión, surge que la demanda, por demás lacónica y escueta, no satisface la carga de la afirmación, en el sentido de exposición clara y circunstanciada de los fundamentos de hecho de la litis  Art. 117 num. 4 del CGP.” (Rochon ®Van Rompaey, Barcelona).</w:t>
      </w:r>
    </w:p>
    <w:p>
      <w:pPr>
        <w:pStyle w:val="style0"/>
        <w:jc w:val="both"/>
        <w:spacing w:line="480" w:lineRule="atLeast"/>
      </w:pPr>
      <w:r>
        <w:rPr>
          <w:rFonts w:ascii="Courier" w:hAnsi="Courier"/>
        </w:rPr>
        <w:tab/>
        <w:tab/>
        <w:tab/>
        <w:t>Y lamentablemente el Tribunal observas que, generalmente, las demandas laborales  cada vez son más breves y pobres en datos fácticos y sobrevuela el principio esencial de la carga de la afirmación.</w:t>
      </w:r>
    </w:p>
    <w:p>
      <w:pPr>
        <w:pStyle w:val="style0"/>
        <w:jc w:val="both"/>
        <w:spacing w:line="480" w:lineRule="atLeast"/>
      </w:pPr>
      <w:r>
        <w:rPr>
          <w:rFonts w:ascii="Courier" w:hAnsi="Courier"/>
        </w:rPr>
        <w:tab/>
        <w:tab/>
        <w:tab/>
        <w:t>Sólo por este aspecto pudo desestimarse la demanda en este punto.</w:t>
      </w:r>
    </w:p>
    <w:p>
      <w:pPr>
        <w:pStyle w:val="style0"/>
        <w:jc w:val="both"/>
        <w:spacing w:line="480" w:lineRule="atLeast"/>
      </w:pPr>
      <w:r>
        <w:rPr>
          <w:b/>
          <w:rFonts w:ascii="Courier" w:hAnsi="Courier"/>
        </w:rPr>
        <w:tab/>
        <w:tab/>
        <w:tab/>
        <w:t xml:space="preserve">IV) </w:t>
      </w:r>
      <w:r>
        <w:rPr>
          <w:rFonts w:ascii="Courier" w:hAnsi="Courier"/>
        </w:rPr>
        <w:t>Con relación a la hora extra como nurse condenada es compartible la posición de la a-quo más aún si tenemos en cuenta la organización que reinaba en al empresa demandada lo que le hubiera resultado muy sencillo  acreditar el “quantum debeatur “en base al principio de disponibilidad del medio probatorio.</w:t>
      </w:r>
    </w:p>
    <w:p>
      <w:pPr>
        <w:pStyle w:val="style0"/>
        <w:jc w:val="both"/>
        <w:spacing w:line="480" w:lineRule="atLeast"/>
      </w:pPr>
      <w:r>
        <w:rPr>
          <w:rFonts w:ascii="Courier" w:hAnsi="Courier"/>
        </w:rPr>
        <w:tab/>
        <w:tab/>
        <w:tab/>
        <w:t>Sobre el decreto 611/80 ni siquiera se alegó en la demanda (fs 385 387). El agravio es de rechazo</w:t>
      </w:r>
      <w:r>
        <w:rPr>
          <w:b/>
          <w:rFonts w:ascii="Courier" w:hAnsi="Courier"/>
        </w:rPr>
        <w:t>.</w:t>
      </w:r>
    </w:p>
    <w:p>
      <w:pPr>
        <w:pStyle w:val="style0"/>
        <w:numPr>
          <w:ilvl w:val="6"/>
          <w:numId w:val="3"/>
        </w:numPr>
        <w:jc w:val="both"/>
        <w:tabs>
          <w:tab w:leader="none" w:pos="0" w:val="left"/>
        </w:tabs>
        <w:spacing w:line="480" w:lineRule="atLeast"/>
      </w:pPr>
      <w:r>
        <w:rPr>
          <w:rFonts w:ascii="Courier" w:hAnsi="Courier"/>
        </w:rPr>
        <w:t>Respecto al despido como nurse, la notoria mala conducta no se configuró, el punto fue bien analizado en la recurrida, apenas fundado en la demanda, se acude a la vía cuantitativa y ni siquiera se alga el episodio final.</w:t>
      </w:r>
    </w:p>
    <w:p>
      <w:pPr>
        <w:pStyle w:val="style2"/>
        <w:numPr>
          <w:ilvl w:val="1"/>
          <w:numId w:val="2"/>
        </w:numPr>
        <w:jc w:val="both"/>
        <w:tabs>
          <w:tab w:leader="none" w:pos="0" w:val="left"/>
        </w:tabs>
        <w:spacing w:line="480" w:lineRule="atLeast"/>
      </w:pPr>
      <w:r>
        <w:rPr>
          <w:sz w:val="24"/>
          <w:i/>
          <w:rFonts w:ascii="Courier" w:hAnsi="Courier"/>
        </w:rPr>
        <w:t xml:space="preserve">           </w:t>
      </w:r>
      <w:r>
        <w:rPr>
          <w:sz w:val="24"/>
          <w:i/>
          <w:rFonts w:ascii="Courier" w:hAnsi="Courier"/>
        </w:rPr>
        <w:t>VIII)</w:t>
      </w:r>
      <w:r>
        <w:rPr/>
        <w:t xml:space="preserve"> </w:t>
      </w:r>
      <w:r>
        <w:rPr>
          <w:sz w:val="24"/>
          <w:i/>
          <w:b/>
          <w:szCs w:val="24"/>
          <w:iCs/>
          <w:bCs/>
          <w:rFonts w:ascii="Courier" w:hAnsi="Courier"/>
        </w:rPr>
        <w:t>Con relación a la rescisión  el Colegiado entiende que la señora juez  “a-quo”  ha realizado un perfecto examen de la situación y que la apelación demandada casi no es fundada  asemejándose más a  una mera disconformidad con la sentencia y nada más.</w:t>
      </w:r>
    </w:p>
    <w:p>
      <w:pPr>
        <w:pStyle w:val="style0"/>
        <w:jc w:val="both"/>
        <w:spacing w:line="480" w:lineRule="atLeast"/>
      </w:pPr>
      <w:r>
        <w:rPr>
          <w:b/>
          <w:rFonts w:ascii="Courier" w:hAnsi="Courier"/>
        </w:rPr>
        <w:tab/>
        <w:tab/>
        <w:tab/>
        <w:t>IX)</w:t>
      </w:r>
      <w:r>
        <w:rPr>
          <w:rFonts w:ascii="Courier" w:hAnsi="Courier"/>
        </w:rPr>
        <w:t xml:space="preserve"> El porcentaje de los daños y perjuicios preceptivos sobre los rubros de naturaleza salarial fijados en primera instancia (15%) se adecua a las pautas establecidas en el artículo 4 de la ley 10449.</w:t>
      </w:r>
    </w:p>
    <w:p>
      <w:pPr>
        <w:pStyle w:val="style0"/>
        <w:jc w:val="both"/>
        <w:spacing w:line="480" w:lineRule="atLeast"/>
      </w:pPr>
      <w:r>
        <w:rPr>
          <w:b/>
          <w:rFonts w:ascii="Courier" w:hAnsi="Courier"/>
        </w:rPr>
        <w:tab/>
        <w:tab/>
        <w:tab/>
        <w:t xml:space="preserve">X) </w:t>
      </w:r>
      <w:r>
        <w:rPr>
          <w:rFonts w:ascii="Courier" w:hAnsi="Courier"/>
        </w:rPr>
        <w:t>Al borde la malicia temeraria el agravio sobre la multa, hay condena, hay multa, no se comprende lo que pretende el apelante.</w:t>
      </w:r>
    </w:p>
    <w:p>
      <w:pPr>
        <w:pStyle w:val="style0"/>
        <w:numPr>
          <w:ilvl w:val="6"/>
          <w:numId w:val="4"/>
        </w:numPr>
        <w:jc w:val="both"/>
        <w:tabs>
          <w:tab w:leader="none" w:pos="0" w:val="left"/>
        </w:tabs>
        <w:spacing w:line="480" w:lineRule="atLeast"/>
      </w:pPr>
      <w:r>
        <w:rPr>
          <w:rFonts w:ascii="Courier" w:hAnsi="Courier"/>
        </w:rPr>
        <w:t>El principio de celeridad impone a la Sede dejar bien en claro la suma líquida a la que se condena. A la liquidación efectuada en la sentencia recurrida a fs 713  a 719 los rubros revocados se descartan de la liquidación y condena. Quedan los restantes más el 15% por daños y perjuicios preceptivos sobre los rubros de naturaleza salarial objeto de condena.</w:t>
      </w:r>
    </w:p>
    <w:p>
      <w:pPr>
        <w:pStyle w:val="style0"/>
        <w:jc w:val="both"/>
        <w:spacing w:line="480" w:lineRule="atLeast"/>
      </w:pPr>
      <w:r>
        <w:rPr>
          <w:rFonts w:ascii="Courier" w:hAnsi="Courier"/>
        </w:rPr>
        <w:t xml:space="preserve">             </w:t>
      </w:r>
      <w:r>
        <w:rPr>
          <w:rFonts w:ascii="Courier" w:hAnsi="Courier"/>
        </w:rPr>
        <w:t>La liquidación la realizó la señora juez  “a- quo” hasta octubre de 2011 o sea que va a sufrir variaciones hasta el momento del pago.</w:t>
      </w:r>
    </w:p>
    <w:p>
      <w:pPr>
        <w:pStyle w:val="style0"/>
        <w:jc w:val="both"/>
        <w:spacing w:line="480" w:lineRule="atLeast"/>
      </w:pPr>
      <w:r>
        <w:rPr>
          <w:b/>
          <w:rFonts w:ascii="Courier" w:hAnsi="Courier"/>
        </w:rPr>
        <w:tab/>
        <w:tab/>
        <w:tab/>
        <w:t xml:space="preserve">XII) </w:t>
      </w:r>
      <w:r>
        <w:rPr>
          <w:rFonts w:ascii="Courier" w:hAnsi="Courier"/>
        </w:rPr>
        <w:t>Costas del grado a la parte demandada (artículo 337 de la ley 16226) no existiendo mérito para la especial imposición de costos (artículos 56  del CGP y 688 del CC).</w:t>
      </w:r>
    </w:p>
    <w:p>
      <w:pPr>
        <w:pStyle w:val="style0"/>
        <w:jc w:val="both"/>
        <w:spacing w:line="480" w:lineRule="atLeast"/>
      </w:pPr>
      <w:r>
        <w:rPr>
          <w:rFonts w:ascii="Courier" w:hAnsi="Courier"/>
        </w:rPr>
        <w:tab/>
        <w:tab/>
        <w:tab/>
        <w:t>Por tales fundamentos artículos 139, 140, 197 y 198 del Código General del Proceso, el Tribunal,</w:t>
      </w:r>
    </w:p>
    <w:p>
      <w:pPr>
        <w:pStyle w:val="style0"/>
        <w:jc w:val="both"/>
        <w:spacing w:line="480" w:lineRule="atLeast"/>
      </w:pPr>
      <w:r>
        <w:rPr>
          <w:b/>
          <w:rFonts w:ascii="Courier" w:hAnsi="Courier"/>
        </w:rPr>
      </w:r>
    </w:p>
    <w:p>
      <w:pPr>
        <w:pStyle w:val="style0"/>
        <w:jc w:val="both"/>
        <w:spacing w:line="480" w:lineRule="atLeast"/>
      </w:pPr>
      <w:r>
        <w:rPr>
          <w:b/>
          <w:rFonts w:ascii="Courier" w:hAnsi="Courier"/>
        </w:rPr>
        <w:tab/>
        <w:tab/>
      </w:r>
      <w:r>
        <w:rPr>
          <w:i/>
          <w:b/>
          <w:iCs/>
          <w:bCs/>
          <w:rFonts w:ascii="Courier" w:hAnsi="Courier"/>
        </w:rPr>
        <w:t>FALLA:</w:t>
      </w:r>
    </w:p>
    <w:p>
      <w:pPr>
        <w:pStyle w:val="style0"/>
        <w:jc w:val="both"/>
        <w:spacing w:line="480" w:lineRule="atLeast"/>
      </w:pPr>
      <w:r>
        <w:rPr>
          <w:i/>
          <w:b/>
          <w:iCs/>
          <w:bCs/>
          <w:rFonts w:ascii="Courier" w:hAnsi="Courier"/>
        </w:rPr>
        <w:tab/>
        <w:tab/>
        <w:tab/>
        <w:t>CONFIRMASE LA SENTENCIA RECURRIDA SALVO EN LOS SIGUIENTES PUNTOS EN LOS QUE SE LA REVOCA:1) RELACIÓN LABORAL COMO PODÓLOGA LA QUE SE RECHAZA.2) LICENCIA, SALARIO VACACIONAL Y AGUINALDO COMO PODÓLOGA DE CUYAS CONDENAS SE ABSUELVE A  LA PARTE DEMANDADA. 3) DESPIDO COMO PODÓLOGA DE CUYA CONDENA SE ABSUELVE A LA PARTE DEMANDADA. 4) DESCANSOS INTERMEDIOS COMO NURSE DE CUYA CONDENA SE ABSUELVE A LA ACCIONADA.</w:t>
      </w:r>
    </w:p>
    <w:p>
      <w:pPr>
        <w:pStyle w:val="style0"/>
        <w:jc w:val="both"/>
        <w:spacing w:line="480" w:lineRule="atLeast"/>
      </w:pPr>
      <w:r>
        <w:rPr>
          <w:i/>
          <w:b/>
          <w:iCs/>
          <w:bCs/>
          <w:rFonts w:ascii="Courier" w:hAnsi="Courier"/>
        </w:rPr>
        <w:tab/>
        <w:tab/>
        <w:tab/>
        <w:t>TENGASE PRESENTE LO EXPUESTO EN EL CONSIDERANDO XII DEL PRESENTE PRONUNCIAMIENTO. COSTAS A LA PARTE DEMANDADA. SIN ESPECIAL IMPOSICION DE COSTOS. HONORARIOS FICTOS DE LA INSTANCIA CINCO BASES DE PRESTACIONES Y CONTRIBUCIONES. Y DEVUÉLVASE.-</w:t>
      </w:r>
    </w:p>
    <w:p>
      <w:pPr>
        <w:pStyle w:val="style0"/>
        <w:jc w:val="both"/>
        <w:spacing w:line="480" w:lineRule="atLeast"/>
      </w:pPr>
      <w:r>
        <w:rPr>
          <w:i/>
          <w:b/>
          <w:iCs/>
          <w:bCs/>
          <w:rFonts w:ascii="Courier" w:hAnsi="Courier"/>
        </w:rPr>
      </w:r>
    </w:p>
    <w:p>
      <w:pPr>
        <w:pStyle w:val="style0"/>
        <w:jc w:val="both"/>
        <w:spacing w:line="480" w:lineRule="atLeast"/>
      </w:pPr>
      <w:r>
        <w:rPr>
          <w:i/>
          <w:b/>
          <w:iCs/>
          <w:bCs/>
          <w:rFonts w:ascii="Courier" w:hAnsi="Courier"/>
        </w:rPr>
        <w:t xml:space="preserve">                                                         </w:t>
      </w:r>
      <w:r>
        <w:rPr>
          <w:i/>
          <w:iCs/>
          <w:rFonts w:ascii="Courier" w:hAnsi="Courier"/>
        </w:rPr>
        <w:t>Si//</w:t>
      </w:r>
    </w:p>
    <w:p>
      <w:pPr>
        <w:pStyle w:val="style0"/>
        <w:jc w:val="both"/>
        <w:spacing w:line="480" w:lineRule="atLeast"/>
      </w:pPr>
      <w:r>
        <w:rPr>
          <w:i/>
          <w:iCs/>
          <w:rFonts w:ascii="Courier" w:hAnsi="Courier"/>
        </w:rPr>
        <w:t>//guen firmas de los Sres. Ministros</w:t>
      </w:r>
    </w:p>
    <w:p>
      <w:pPr>
        <w:pStyle w:val="style0"/>
        <w:jc w:val="both"/>
        <w:spacing w:line="480" w:lineRule="atLeast"/>
      </w:pPr>
      <w:r>
        <w:rPr>
          <w:i/>
          <w:iCs/>
          <w:rFonts w:ascii="Courier" w:hAnsi="Courier"/>
        </w:rPr>
      </w:r>
    </w:p>
    <w:p>
      <w:pPr>
        <w:pStyle w:val="style0"/>
        <w:jc w:val="both"/>
        <w:spacing w:line="480" w:lineRule="atLeast"/>
      </w:pPr>
      <w:r>
        <w:rPr>
          <w:i/>
          <w:iCs/>
          <w:rFonts w:ascii="Courier" w:hAnsi="Courier"/>
        </w:rPr>
      </w:r>
    </w:p>
    <w:p>
      <w:pPr>
        <w:pStyle w:val="style0"/>
        <w:jc w:val="both"/>
        <w:spacing w:line="480" w:lineRule="atLeast"/>
      </w:pPr>
      <w:r>
        <w:rPr>
          <w:i/>
          <w:iCs/>
          <w:rFonts w:ascii="Courier" w:hAnsi="Courier"/>
        </w:rPr>
      </w:r>
    </w:p>
    <w:p>
      <w:pPr>
        <w:pStyle w:val="style0"/>
        <w:jc w:val="both"/>
        <w:spacing w:line="480" w:lineRule="atLeast"/>
      </w:pPr>
      <w:r>
        <w:rPr>
          <w:i/>
          <w:b/>
          <w:iCs/>
          <w:bCs/>
          <w:rFonts w:ascii="Courier" w:hAnsi="Courier"/>
        </w:rPr>
        <w:t xml:space="preserve">                              </w:t>
      </w:r>
      <w:r>
        <w:rPr>
          <w:i/>
          <w:iCs/>
          <w:rFonts w:ascii="Courier" w:hAnsi="Courier"/>
        </w:rPr>
        <w:t>Dr. Luis Tosi Boeri</w:t>
      </w:r>
    </w:p>
    <w:p>
      <w:pPr>
        <w:pStyle w:val="style0"/>
        <w:jc w:val="both"/>
        <w:spacing w:line="480" w:lineRule="atLeast"/>
      </w:pPr>
      <w:r>
        <w:rPr>
          <w:i/>
          <w:iCs/>
          <w:rFonts w:ascii="Courier" w:hAnsi="Courier"/>
        </w:rPr>
        <w:t xml:space="preserve">                                 </w:t>
      </w:r>
      <w:r>
        <w:rPr>
          <w:i/>
          <w:iCs/>
          <w:rFonts w:ascii="Courier" w:hAnsi="Courier"/>
        </w:rPr>
        <w:t>Presidente</w:t>
      </w:r>
    </w:p>
    <w:p>
      <w:pPr>
        <w:pStyle w:val="style0"/>
        <w:jc w:val="both"/>
        <w:spacing w:line="480" w:lineRule="atLeast"/>
      </w:pPr>
      <w:r>
        <w:rPr>
          <w:i/>
          <w:iCs/>
          <w:rFonts w:ascii="Courier" w:hAnsi="Courier"/>
        </w:rPr>
      </w:r>
    </w:p>
    <w:p>
      <w:pPr>
        <w:pStyle w:val="style0"/>
        <w:jc w:val="both"/>
        <w:spacing w:line="480" w:lineRule="atLeast"/>
      </w:pPr>
      <w:r>
        <w:rPr>
          <w:i/>
          <w:iCs/>
          <w:rFonts w:ascii="Courier" w:hAnsi="Courier"/>
        </w:rPr>
      </w:r>
    </w:p>
    <w:p>
      <w:pPr>
        <w:pStyle w:val="style0"/>
        <w:jc w:val="both"/>
        <w:spacing w:line="480" w:lineRule="atLeast"/>
      </w:pPr>
      <w:r>
        <w:rPr>
          <w:i/>
          <w:iCs/>
          <w:rFonts w:ascii="Courier" w:hAnsi="Courier"/>
        </w:rPr>
        <w:t>Dra. Nanci Corrales García</w:t>
      </w:r>
    </w:p>
    <w:p>
      <w:pPr>
        <w:pStyle w:val="style0"/>
        <w:jc w:val="both"/>
        <w:spacing w:line="480" w:lineRule="atLeast"/>
      </w:pPr>
      <w:r>
        <w:rPr>
          <w:i/>
          <w:iCs/>
          <w:rFonts w:ascii="Courier" w:hAnsi="Courier"/>
        </w:rPr>
        <w:t xml:space="preserve">      </w:t>
      </w:r>
      <w:r>
        <w:rPr>
          <w:i/>
          <w:iCs/>
          <w:rFonts w:ascii="Courier" w:hAnsi="Courier"/>
        </w:rPr>
        <w:t>Ministra</w:t>
      </w:r>
    </w:p>
    <w:p>
      <w:pPr>
        <w:pStyle w:val="style0"/>
        <w:jc w:val="both"/>
        <w:spacing w:line="480" w:lineRule="atLeast"/>
      </w:pPr>
      <w:r>
        <w:rPr>
          <w:i/>
          <w:iCs/>
          <w:rFonts w:ascii="Courier" w:hAnsi="Courier"/>
        </w:rPr>
      </w:r>
    </w:p>
    <w:p>
      <w:pPr>
        <w:pStyle w:val="style0"/>
        <w:jc w:val="both"/>
        <w:spacing w:line="480" w:lineRule="atLeast"/>
      </w:pPr>
      <w:r>
        <w:rPr>
          <w:i/>
          <w:iCs/>
          <w:rFonts w:ascii="Courier" w:hAnsi="Courier"/>
        </w:rPr>
        <w:t xml:space="preserve">                                 </w:t>
      </w:r>
      <w:r>
        <w:rPr>
          <w:i/>
          <w:iCs/>
          <w:rFonts w:ascii="Courier" w:hAnsi="Courier"/>
        </w:rPr>
        <w:t>Dr. José Echeveste Costa</w:t>
      </w:r>
    </w:p>
    <w:p>
      <w:pPr>
        <w:pStyle w:val="style0"/>
        <w:jc w:val="both"/>
        <w:spacing w:line="480" w:lineRule="atLeast"/>
      </w:pPr>
      <w:r>
        <w:rPr>
          <w:i/>
          <w:iCs/>
          <w:rFonts w:ascii="Courier" w:hAnsi="Courier"/>
        </w:rPr>
        <w:t xml:space="preserve">                                       </w:t>
      </w:r>
      <w:r>
        <w:rPr>
          <w:i/>
          <w:iCs/>
          <w:rFonts w:ascii="Courier" w:hAnsi="Courier"/>
        </w:rPr>
        <w:t>Ministro</w:t>
      </w:r>
    </w:p>
    <w:p>
      <w:pPr>
        <w:pStyle w:val="style0"/>
        <w:jc w:val="both"/>
        <w:spacing w:line="480" w:lineRule="atLeast"/>
      </w:pPr>
      <w:r>
        <w:rPr>
          <w:i/>
          <w:iCs/>
          <w:rFonts w:ascii="Courier" w:hAnsi="Courier"/>
        </w:rPr>
      </w:r>
    </w:p>
    <w:p>
      <w:pPr>
        <w:pStyle w:val="style0"/>
        <w:jc w:val="both"/>
        <w:spacing w:line="480" w:lineRule="atLeast"/>
      </w:pPr>
      <w:r>
        <w:rPr>
          <w:i/>
          <w:iCs/>
          <w:rFonts w:ascii="Courier" w:hAnsi="Courier"/>
        </w:rPr>
        <w:t>Esc. Raquel Gatti Rodríguez</w:t>
      </w:r>
    </w:p>
    <w:p>
      <w:pPr>
        <w:pStyle w:val="style0"/>
        <w:jc w:val="both"/>
        <w:spacing w:line="480" w:lineRule="atLeast"/>
      </w:pPr>
      <w:r>
        <w:rPr>
          <w:i/>
          <w:iCs/>
          <w:rFonts w:ascii="Courier" w:hAnsi="Courier"/>
        </w:rPr>
        <w:t xml:space="preserve">         </w:t>
      </w:r>
      <w:r>
        <w:rPr>
          <w:i/>
          <w:iCs/>
          <w:rFonts w:ascii="Courier" w:hAnsi="Courier"/>
        </w:rPr>
        <w:t>Secretaria</w:t>
      </w:r>
    </w:p>
    <w:p>
      <w:pPr>
        <w:pStyle w:val="style0"/>
        <w:jc w:val="both"/>
        <w:spacing w:line="480" w:lineRule="atLeast"/>
      </w:pPr>
      <w:r>
        <w:rPr>
          <w:i/>
          <w:b/>
          <w:iCs/>
          <w:bCs/>
          <w:rFonts w:ascii="Courier" w:hAnsi="Courier"/>
        </w:rPr>
      </w:r>
    </w:p>
    <w:p>
      <w:pPr>
        <w:pStyle w:val="style0"/>
        <w:jc w:val="both"/>
        <w:spacing w:line="480" w:lineRule="atLeast"/>
      </w:pPr>
      <w:r>
        <w:rPr>
          <w:i/>
          <w:b/>
          <w:iCs/>
          <w:bCs/>
          <w:rFonts w:ascii="Courier" w:hAnsi="Courier"/>
        </w:rPr>
      </w:r>
    </w:p>
    <w:p>
      <w:pPr>
        <w:pStyle w:val="style0"/>
        <w:jc w:val="both"/>
        <w:spacing w:line="480" w:lineRule="atLeast"/>
      </w:pPr>
      <w:r>
        <w:rPr>
          <w:i/>
          <w:b/>
          <w:iCs/>
          <w:bCs/>
          <w:rFonts w:ascii="Courier" w:hAnsi="Courier"/>
        </w:rPr>
        <w:t xml:space="preserve">  </w:t>
      </w:r>
    </w:p>
    <w:p>
      <w:pPr>
        <w:pStyle w:val="style22"/>
        <w:jc w:val="both"/>
        <w:tabs>
          <w:tab w:leader="none" w:pos="708" w:val="left"/>
        </w:tabs>
        <w:spacing w:line="480" w:lineRule="atLeast"/>
      </w:pPr>
      <w:r>
        <w:rPr>
          <w:i/>
          <w:b/>
          <w:iCs/>
          <w:bCs/>
          <w:rFonts w:ascii="Courier" w:hAnsi="Courier"/>
        </w:rPr>
      </w:r>
    </w:p>
    <w:p>
      <w:pPr>
        <w:pStyle w:val="style0"/>
        <w:jc w:val="both"/>
        <w:spacing w:line="480" w:lineRule="atLeast"/>
      </w:pPr>
      <w:r>
        <w:rPr>
          <w:i/>
          <w:b/>
          <w:szCs w:val="28"/>
          <w:iCs/>
          <w:bCs/>
          <w:rFonts w:ascii="Courier" w:cs="Arial" w:hAnsi="Courier"/>
        </w:rPr>
      </w:r>
    </w:p>
    <w:p>
      <w:pPr>
        <w:pStyle w:val="style0"/>
      </w:pPr>
      <w:r>
        <w:rPr/>
      </w:r>
    </w:p>
    <w:sectPr>
      <w:formProt w:val="off"/>
      <w:pgSz w:h="16838" w:w="11906"/>
      <w:textDirection w:val="lrTb"/>
      <w:pgNumType w:fmt="decimal"/>
      <w:type w:val="nextPage"/>
      <w:pgMar w:bottom="1417" w:left="1701" w:right="1701"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0" w:left="0"/>
      </w:pPr>
    </w:lvl>
    <w:lvl w:ilvl="1">
      <w:start w:val="1"/>
      <w:numFmt w:val="none"/>
      <w:lvlJc w:val="left"/>
      <w:suff w:val="nothing"/>
      <w:lvlText w:val=""/>
      <w:pPr>
        <w:ind w:hanging="0" w:left="0"/>
      </w:pPr>
    </w:lvl>
    <w:lvl w:ilvl="2">
      <w:start w:val="1"/>
      <w:numFmt w:val="none"/>
      <w:lvlJc w:val="left"/>
      <w:suff w:val="nothing"/>
      <w:lvlText w:val=""/>
      <w:pPr>
        <w:ind w:hanging="0" w:left="0"/>
      </w:pPr>
    </w:lvl>
    <w:lvl w:ilvl="3">
      <w:start w:val="1"/>
      <w:numFmt w:val="none"/>
      <w:lvlJc w:val="left"/>
      <w:suff w:val="nothing"/>
      <w:lvlText w:val=""/>
      <w:pPr>
        <w:ind w:hanging="0" w:left="0"/>
      </w:pPr>
    </w:lvl>
    <w:lvl w:ilvl="4">
      <w:start w:val="1"/>
      <w:numFmt w:val="none"/>
      <w:lvlJc w:val="left"/>
      <w:suff w:val="nothing"/>
      <w:lvlText w:val=""/>
      <w:pPr>
        <w:ind w:hanging="0" w:left="0"/>
      </w:pPr>
    </w:lvl>
    <w:lvl w:ilvl="5">
      <w:start w:val="1"/>
      <w:numFmt w:val="none"/>
      <w:lvlJc w:val="left"/>
      <w:suff w:val="nothing"/>
      <w:lvlText w:val=""/>
      <w:pPr>
        <w:ind w:hanging="0" w:left="0"/>
      </w:pPr>
    </w:lvl>
    <w:lvl w:ilvl="6">
      <w:start w:val="1"/>
      <w:numFmt w:val="none"/>
      <w:lvlJc w:val="left"/>
      <w:suff w:val="nothing"/>
      <w:lvlText w:val=""/>
      <w:pPr>
        <w:ind w:hanging="0" w:left="0"/>
      </w:pPr>
    </w:lvl>
    <w:lvl w:ilvl="7">
      <w:start w:val="1"/>
      <w:numFmt w:val="none"/>
      <w:lvlJc w:val="left"/>
      <w:suff w:val="nothing"/>
      <w:lvlText w:val=""/>
      <w:pPr>
        <w:ind w:hanging="0" w:left="0"/>
      </w:pPr>
    </w:lvl>
    <w:lvl w:ilvl="8">
      <w:start w:val="1"/>
      <w:numFmt w:val="none"/>
      <w:lvlJc w:val="left"/>
      <w:suff w:val="nothing"/>
      <w:lvlText w:val=""/>
      <w:pPr>
        <w:ind w:hanging="0" w:left="0"/>
      </w:pPr>
    </w:lvl>
  </w:abstractNum>
  <w:abstractNum w:abstractNumId="3">
    <w:lvl w:ilvl="0">
      <w:start w:val="1"/>
      <w:numFmt w:val="decimal"/>
      <w:lvlJc w:val="left"/>
      <w:lvlText w:val="%1."/>
      <w:pPr>
        <w:ind w:hanging="0" w:left="0"/>
      </w:pPr>
    </w:lvl>
    <w:lvl w:ilvl="1">
      <w:start w:val="1"/>
      <w:numFmt w:val="decimal"/>
      <w:lvlJc w:val="left"/>
      <w:lvlText w:val="%2."/>
      <w:pPr>
        <w:ind w:hanging="0" w:left="0"/>
      </w:pPr>
    </w:lvl>
    <w:lvl w:ilvl="2">
      <w:start w:val="1"/>
      <w:numFmt w:val="decimal"/>
      <w:lvlJc w:val="left"/>
      <w:lvlText w:val="%2.%3."/>
      <w:pPr>
        <w:ind w:hanging="0" w:left="0"/>
      </w:pPr>
    </w:lvl>
    <w:lvl w:ilvl="3">
      <w:start w:val="1"/>
      <w:numFmt w:val="decimal"/>
      <w:lvlJc w:val="left"/>
      <w:lvlText w:val="%2.%3.%4."/>
      <w:pPr>
        <w:ind w:hanging="0" w:left="0"/>
      </w:pPr>
    </w:lvl>
    <w:lvl w:ilvl="4">
      <w:start w:val="1"/>
      <w:numFmt w:val="decimal"/>
      <w:lvlJc w:val="left"/>
      <w:lvlText w:val="%2.%3.%4.%5."/>
      <w:pPr>
        <w:ind w:hanging="0" w:left="0"/>
      </w:pPr>
    </w:lvl>
    <w:lvl w:ilvl="5">
      <w:start w:val="1"/>
      <w:numFmt w:val="decimal"/>
      <w:lvlJc w:val="left"/>
      <w:lvlText w:val="%2.%3.%4.%5.%6."/>
      <w:pPr>
        <w:ind w:hanging="0" w:left="0"/>
      </w:pPr>
    </w:lvl>
    <w:lvl w:ilvl="6">
      <w:start w:val="7"/>
      <w:numFmt w:val="upperRoman"/>
      <w:lvlJc w:val="left"/>
      <w:lvlText w:val="%2.%3.%4.%5.%6.%7)"/>
      <w:pPr>
        <w:ind w:hanging="0" w:left="0"/>
      </w:pPr>
    </w:lvl>
    <w:lvl w:ilvl="7">
      <w:start w:val="1"/>
      <w:numFmt w:val="decimal"/>
      <w:lvlJc w:val="left"/>
      <w:lvlText w:val="%2.%3.%4.%5.%6.%7.%8."/>
      <w:pPr>
        <w:ind w:hanging="0" w:left="0"/>
      </w:pPr>
    </w:lvl>
    <w:lvl w:ilvl="8">
      <w:start w:val="1"/>
      <w:numFmt w:val="decimal"/>
      <w:lvlJc w:val="left"/>
      <w:lvlText w:val="%2.%3.%4.%5.%6.%7.%8.%9."/>
      <w:pPr>
        <w:ind w:hanging="0" w:left="0"/>
      </w:pPr>
    </w:lvl>
  </w:abstractNum>
  <w:abstractNum w:abstractNumId="4">
    <w:lvl w:ilvl="0">
      <w:start w:val="1"/>
      <w:numFmt w:val="decimal"/>
      <w:lvlJc w:val="left"/>
      <w:lvlText w:val="%1."/>
      <w:pPr>
        <w:ind w:hanging="0" w:left="0"/>
      </w:pPr>
    </w:lvl>
    <w:lvl w:ilvl="1">
      <w:start w:val="1"/>
      <w:numFmt w:val="decimal"/>
      <w:lvlJc w:val="left"/>
      <w:lvlText w:val="%2."/>
      <w:pPr>
        <w:ind w:hanging="0" w:left="0"/>
      </w:pPr>
    </w:lvl>
    <w:lvl w:ilvl="2">
      <w:start w:val="1"/>
      <w:numFmt w:val="decimal"/>
      <w:lvlJc w:val="left"/>
      <w:lvlText w:val="%2.%3."/>
      <w:pPr>
        <w:ind w:hanging="0" w:left="0"/>
      </w:pPr>
    </w:lvl>
    <w:lvl w:ilvl="3">
      <w:start w:val="1"/>
      <w:numFmt w:val="decimal"/>
      <w:lvlJc w:val="left"/>
      <w:lvlText w:val="%2.%3.%4."/>
      <w:pPr>
        <w:ind w:hanging="0" w:left="0"/>
      </w:pPr>
    </w:lvl>
    <w:lvl w:ilvl="4">
      <w:start w:val="1"/>
      <w:numFmt w:val="decimal"/>
      <w:lvlJc w:val="left"/>
      <w:lvlText w:val="%2.%3.%4.%5."/>
      <w:pPr>
        <w:ind w:hanging="0" w:left="0"/>
      </w:pPr>
    </w:lvl>
    <w:lvl w:ilvl="5">
      <w:start w:val="1"/>
      <w:numFmt w:val="decimal"/>
      <w:lvlJc w:val="left"/>
      <w:lvlText w:val="%2.%3.%4.%5.%6."/>
      <w:pPr>
        <w:ind w:hanging="0" w:left="0"/>
      </w:pPr>
    </w:lvl>
    <w:lvl w:ilvl="6">
      <w:start w:val="11"/>
      <w:numFmt w:val="upperRoman"/>
      <w:lvlJc w:val="left"/>
      <w:lvlText w:val="%2.%3.%4.%5.%6.%7)"/>
      <w:pPr>
        <w:ind w:hanging="0" w:left="0"/>
      </w:pPr>
    </w:lvl>
    <w:lvl w:ilvl="7">
      <w:start w:val="1"/>
      <w:numFmt w:val="decimal"/>
      <w:lvlJc w:val="left"/>
      <w:lvlText w:val="%2.%3.%4.%5.%6.%7.%8."/>
      <w:pPr>
        <w:ind w:hanging="0" w:left="0"/>
      </w:pPr>
    </w:lvl>
    <w:lvl w:ilvl="8">
      <w:start w:val="1"/>
      <w:numFmt w:val="decimal"/>
      <w:lvlJc w:val="left"/>
      <w:lvlText w:val="%2.%3.%4.%5.%6.%7.%8.%9."/>
      <w:pPr>
        <w:ind w:hanging="0" w:left="0"/>
      </w:p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Predeterminado"/>
    <w:next w:val="style0"/>
    <w:pPr>
      <w:jc w:val="left"/>
      <w:widowControl/>
      <w:suppressAutoHyphens w:val="true"/>
      <w:tabs>
        <w:tab w:leader="none" w:pos="709" w:val="left"/>
      </w:tabs>
      <w:spacing w:after="0" w:before="0" w:line="100" w:lineRule="atLeast"/>
    </w:pPr>
    <w:rPr>
      <w:color w:val="auto"/>
      <w:sz w:val="24"/>
      <w:szCs w:val="24"/>
      <w:rFonts w:ascii="Times New Roman" w:cs="Times New Roman" w:eastAsia="Times New Roman" w:hAnsi="Times New Roman"/>
      <w:lang w:bidi="ar-SA" w:eastAsia="ar-SA" w:val="es-ES"/>
    </w:rPr>
  </w:style>
  <w:style w:styleId="style2" w:type="paragraph">
    <w:name w:val="Encabezado 2"/>
    <w:basedOn w:val="style0"/>
    <w:next w:val="style18"/>
    <w:pPr>
      <w:outlineLvl w:val="1"/>
      <w:numPr>
        <w:ilvl w:val="1"/>
        <w:numId w:val="1"/>
      </w:numPr>
      <w:keepNext/>
      <w:spacing w:after="60" w:before="240"/>
    </w:pPr>
    <w:rPr>
      <w:sz w:val="28"/>
      <w:i/>
      <w:b/>
      <w:szCs w:val="28"/>
      <w:iCs/>
      <w:bCs/>
      <w:rFonts w:ascii="Arial" w:cs="Arial" w:hAnsi="Arial"/>
    </w:rPr>
  </w:style>
  <w:style w:styleId="style15" w:type="character">
    <w:name w:val="Default Paragraph Font"/>
    <w:next w:val="style15"/>
    <w:rPr/>
  </w:style>
  <w:style w:styleId="style16" w:type="character">
    <w:name w:val="Título 2 Car"/>
    <w:basedOn w:val="style15"/>
    <w:next w:val="style16"/>
    <w:rPr/>
  </w:style>
  <w:style w:styleId="style17" w:type="paragraph">
    <w:name w:val="Encabezado"/>
    <w:basedOn w:val="style0"/>
    <w:next w:val="style18"/>
    <w:pPr>
      <w:keepNext/>
      <w:spacing w:after="120" w:before="240"/>
    </w:pPr>
    <w:rPr>
      <w:sz w:val="28"/>
      <w:szCs w:val="28"/>
      <w:rFonts w:ascii="Liberation Sans" w:cs="DejaVu Sans" w:eastAsia="DejaVu Sans" w:hAnsi="Liberation Sans"/>
    </w:rPr>
  </w:style>
  <w:style w:styleId="style18" w:type="paragraph">
    <w:name w:val="Cuerpo de texto"/>
    <w:basedOn w:val="style0"/>
    <w:next w:val="style18"/>
    <w:pPr>
      <w:spacing w:after="120" w:before="0"/>
    </w:pPr>
    <w:rPr/>
  </w:style>
  <w:style w:styleId="style19" w:type="paragraph">
    <w:name w:val="Lista"/>
    <w:basedOn w:val="style18"/>
    <w:next w:val="style19"/>
    <w:pPr/>
    <w:rPr/>
  </w:style>
  <w:style w:styleId="style20" w:type="paragraph">
    <w:name w:val="Etiqueta"/>
    <w:basedOn w:val="style0"/>
    <w:next w:val="style20"/>
    <w:pPr>
      <w:suppressLineNumbers/>
      <w:spacing w:after="120" w:before="120"/>
    </w:pPr>
    <w:rPr>
      <w:sz w:val="24"/>
      <w:i/>
      <w:szCs w:val="24"/>
      <w:iCs/>
    </w:rPr>
  </w:style>
  <w:style w:styleId="style21" w:type="paragraph">
    <w:name w:val="Índice"/>
    <w:basedOn w:val="style0"/>
    <w:next w:val="style21"/>
    <w:pPr>
      <w:suppressLineNumbers/>
    </w:pPr>
    <w:rPr/>
  </w:style>
  <w:style w:styleId="style22" w:type="paragraph">
    <w:name w:val="Lista con viñetas1"/>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2013-03-12T09:19:00.00Z</dcterms:created>
  <dc:creator>Rosina</dc:creator>
  <cp:lastModifiedBy>Rosina</cp:lastModifiedBy>
  <dcterms:modified xsi:type="dcterms:W3CDTF">2013-03-12T09:19:00.00Z</dcterms:modified>
  <cp:revision>3</cp:revision>
</cp:coreProperties>
</file>