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360" w:right="0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Derecho del Trabajo II.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Prof. Rosina Rossi y equipo docente.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24.3.2014 . </w:t>
      </w:r>
    </w:p>
    <w:p>
      <w:pPr>
        <w:pStyle w:val="style0"/>
      </w:pPr>
      <w:r>
        <w:rPr>
          <w:color w:val="17365D"/>
          <w:sz w:val="28"/>
          <w:b/>
          <w:szCs w:val="28"/>
        </w:rPr>
        <w:t>CONTRATOS ATÍPICOS.</w:t>
      </w:r>
    </w:p>
    <w:p>
      <w:pPr>
        <w:pStyle w:val="style0"/>
      </w:pPr>
      <w:r>
        <w:rPr>
          <w:color w:val="17365D"/>
          <w:sz w:val="28"/>
          <w:b/>
          <w:szCs w:val="28"/>
        </w:rPr>
        <w:t xml:space="preserve">LA DESCENTRALIZACIÓN EMPRESARIAL EN EL DERECHO POSITIVO NACIONAL. </w:t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b/>
          <w:szCs w:val="28"/>
        </w:rPr>
        <w:t xml:space="preserve">  </w:t>
      </w:r>
      <w:r>
        <w:rPr>
          <w:color w:val="17365D"/>
          <w:sz w:val="28"/>
          <w:u w:val="single"/>
          <w:b/>
          <w:szCs w:val="28"/>
        </w:rPr>
        <w:t>Los fundamentos de la responsabilidad laboral ampliada.</w:t>
      </w:r>
      <w:r>
        <w:rPr>
          <w:color w:val="17365D"/>
          <w:sz w:val="28"/>
          <w:b/>
          <w:szCs w:val="28"/>
        </w:rPr>
        <w:t xml:space="preserve"> 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Buscar una solución que, sin limitar la libertad de empresa contemple el principio protector.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La tercerización es lícita, pero distribuye responsabilidades </w:t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Instrumentos de la responsabilidad.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>Ampliación del patrimonio responsable.           solidaridad</w:t>
        <w:pict>
          <v:shapetype id="shapetype_32" coordsize="21600,21600" o:spt="32" path="m,l21600,21600nfe">
            <v:stroke joinstyle="miter"/>
            <v:path gradientshapeok="t" o:connecttype="rect" textboxrect="0,0,21600,21600"/>
          </v:shapetype>
          <v:shape id="shape_3145778" style="position:absolute;margin-left:242.7pt;margin-top:16.3pt;width:32.2pt;height:23.2pt" type="shapetype_32">
            <w10:wrap w10:type="none"/>
            <v:fill detectmouseclick="t"/>
            <v:stroke color="black" joinstyle="round"/>
          </v:shape>
        </w:pict>
        <w:pict>
          <v:shape id="shape_3145779" style="position:absolute;margin-left:242.7pt;margin-top:15.55pt;width:32.2pt;height:0.7pt" type="shapetype_32">
            <w10:wrap w10:type="none"/>
            <v:fill detectmouseclick="t"/>
            <v:stroke color="black" joinstyle="round"/>
          </v:shape>
        </w:pic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ab/>
        <w:tab/>
        <w:tab/>
        <w:tab/>
        <w:tab/>
        <w:tab/>
        <w:tab/>
        <w:tab/>
        <w:t>subsidiariedad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</w:r>
    </w:p>
    <w:p>
      <w:pPr>
        <w:pStyle w:val="style22"/>
        <w:numPr>
          <w:ilvl w:val="0"/>
          <w:numId w:val="1"/>
        </w:numPr>
        <w:spacing w:after="0" w:before="0" w:line="100" w:lineRule="atLeast"/>
      </w:pPr>
      <w:r>
        <w:rPr>
          <w:color w:val="17365D"/>
          <w:sz w:val="28"/>
          <w:u w:val="single"/>
          <w:b/>
          <w:szCs w:val="28"/>
        </w:rPr>
        <w:t xml:space="preserve">Descentralización empresarial.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+  Empleador clásico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+ Las modalidades del empleador actual:  más de un beneficiario del trabajo humano. 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Aspectos de análisis: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ab/>
        <w:tab/>
        <w:tab/>
        <w:t xml:space="preserve">+ quien responde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ab/>
        <w:tab/>
        <w:tab/>
        <w:t xml:space="preserve">+ a qué título </w:t>
      </w:r>
    </w:p>
    <w:p>
      <w:pPr>
        <w:pStyle w:val="style0"/>
        <w:ind w:firstLine="348" w:left="1776" w:right="0"/>
      </w:pPr>
      <w:r>
        <w:rPr>
          <w:color w:val="17365D"/>
          <w:sz w:val="28"/>
          <w:szCs w:val="28"/>
        </w:rPr>
        <w:t xml:space="preserve">+ de qué responde. 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 </w:t>
      </w:r>
      <w:r>
        <w:rPr>
          <w:color w:val="17365D"/>
          <w:sz w:val="28"/>
          <w:u w:val="single"/>
          <w:b/>
          <w:szCs w:val="28"/>
        </w:rPr>
        <w:t xml:space="preserve">Antecedentes del régimen vigente.  </w:t>
      </w:r>
    </w:p>
    <w:p>
      <w:pPr>
        <w:pStyle w:val="style0"/>
      </w:pPr>
      <w:r>
        <w:rPr>
          <w:color w:val="17365D"/>
          <w:sz w:val="28"/>
          <w:szCs w:val="28"/>
        </w:rPr>
        <w:t>Art. 3 ley 10.449: + supuestos de responsabilidad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                              </w:t>
      </w:r>
      <w:r>
        <w:rPr>
          <w:color w:val="17365D"/>
          <w:sz w:val="28"/>
          <w:szCs w:val="28"/>
        </w:rPr>
        <w:t>+ naturaleza de la responsabilidad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                              </w:t>
      </w:r>
      <w:r>
        <w:rPr>
          <w:color w:val="17365D"/>
          <w:sz w:val="28"/>
          <w:szCs w:val="28"/>
        </w:rPr>
        <w:t>+ objeto de la responsabilidad.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El derecho Internacional del Trabajo.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El proyecto de CIT sobre sub contratación.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CIT n. 181 sobre Agencias de Empleo. </w:t>
      </w:r>
    </w:p>
    <w:p>
      <w:pPr>
        <w:pStyle w:val="style0"/>
        <w:numPr>
          <w:ilvl w:val="0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Régimen vigente. Marco normativo. 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>CIT n. 181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>Ley 18.098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>Ley 18.099.  24.1.2007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Ley 18.251 6.1.2008.   </w:t>
      </w:r>
    </w:p>
    <w:p>
      <w:pPr>
        <w:pStyle w:val="style0"/>
        <w:ind w:hanging="0" w:left="360" w:right="0"/>
      </w:pPr>
      <w:r>
        <w:rPr>
          <w:color w:val="17365D"/>
          <w:sz w:val="28"/>
          <w:u w:val="single"/>
          <w:b/>
          <w:szCs w:val="28"/>
        </w:rPr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b/>
          <w:szCs w:val="28"/>
        </w:rPr>
        <w:t xml:space="preserve">Análisis del régimen vigente. </w:t>
      </w:r>
    </w:p>
    <w:p>
      <w:pPr>
        <w:pStyle w:val="style22"/>
        <w:numPr>
          <w:ilvl w:val="1"/>
          <w:numId w:val="1"/>
        </w:numPr>
      </w:pPr>
      <w:r>
        <w:rPr>
          <w:color w:val="17365D"/>
          <w:sz w:val="28"/>
          <w:b/>
          <w:szCs w:val="28"/>
        </w:rPr>
        <w:t xml:space="preserve"> </w:t>
      </w:r>
      <w:r>
        <w:rPr>
          <w:color w:val="17365D"/>
          <w:sz w:val="28"/>
          <w:b/>
          <w:szCs w:val="28"/>
        </w:rPr>
        <w:t xml:space="preserve">Ámbito de aplicación subjetivo.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Actividad privada.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Actividad pública ( ley 18.098, art. 1 inc. 2do. /18.099 ) 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0"/>
      </w:pPr>
      <w:r>
        <w:rPr>
          <w:color w:val="17365D"/>
          <w:sz w:val="28"/>
          <w:b/>
          <w:szCs w:val="28"/>
        </w:rPr>
        <w:t xml:space="preserve">Exclusiones.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      </w:t>
      </w:r>
      <w:r>
        <w:rPr>
          <w:color w:val="17365D"/>
          <w:sz w:val="28"/>
          <w:szCs w:val="28"/>
        </w:rPr>
        <w:t xml:space="preserve">+ art 2/18.251 Obras o servicios que se presten en forma ocasional.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No zafral o temporada </w:t>
      </w:r>
    </w:p>
    <w:p>
      <w:pPr>
        <w:pStyle w:val="style0"/>
      </w:pPr>
      <w:r>
        <w:rPr>
          <w:color w:val="17365D"/>
          <w:sz w:val="28"/>
          <w:szCs w:val="28"/>
        </w:rPr>
        <w:t xml:space="preserve">       </w:t>
      </w:r>
      <w:r>
        <w:rPr>
          <w:color w:val="17365D"/>
          <w:sz w:val="28"/>
          <w:szCs w:val="28"/>
        </w:rPr>
        <w:t xml:space="preserve">+ ¿servicios de distribución? Dec.ley 14.625. 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22"/>
        <w:numPr>
          <w:ilvl w:val="1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Las hipótesis legales de descentralización. </w:t>
      </w:r>
    </w:p>
    <w:p>
      <w:pPr>
        <w:pStyle w:val="style22"/>
        <w:numPr>
          <w:ilvl w:val="2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Subcontratación. ( actividades accesorias o principales) </w:t>
      </w:r>
    </w:p>
    <w:p>
      <w:pPr>
        <w:pStyle w:val="style0"/>
        <w:ind w:hanging="0" w:left="36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2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Suministro de mano de obra. </w:t>
      </w:r>
    </w:p>
    <w:p>
      <w:pPr>
        <w:pStyle w:val="style22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2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Intermediación. </w:t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</w:r>
    </w:p>
    <w:p>
      <w:pPr>
        <w:pStyle w:val="style22"/>
        <w:numPr>
          <w:ilvl w:val="0"/>
          <w:numId w:val="1"/>
        </w:numPr>
      </w:pPr>
      <w:r>
        <w:rPr>
          <w:color w:val="17365D"/>
          <w:sz w:val="28"/>
          <w:u w:val="single"/>
          <w:b/>
          <w:szCs w:val="28"/>
        </w:rPr>
        <w:t xml:space="preserve">Responsabilidad laboral. ( art. 6 ley 18.251) Alcance subjetivo ( quién y cómo responde) </w:t>
      </w:r>
    </w:p>
    <w:p>
      <w:pPr>
        <w:pStyle w:val="style0"/>
      </w:pPr>
      <w:r>
        <w:rPr>
          <w:color w:val="17365D"/>
          <w:sz w:val="28"/>
          <w:u w:val="single"/>
          <w:b/>
          <w:szCs w:val="28"/>
        </w:rPr>
      </w:r>
    </w:p>
    <w:p>
      <w:pPr>
        <w:pStyle w:val="style0"/>
      </w:pPr>
      <w:r>
        <w:rPr>
          <w:color w:val="17365D"/>
          <w:sz w:val="28"/>
          <w:u w:val="single"/>
          <w:b/>
          <w:szCs w:val="28"/>
        </w:rPr>
        <w:t xml:space="preserve">Quién responde? </w:t>
      </w:r>
    </w:p>
    <w:p>
      <w:pPr>
        <w:pStyle w:val="style0"/>
        <w:numPr>
          <w:ilvl w:val="1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El empleador directo /beneficiario directo. </w:t>
      </w:r>
    </w:p>
    <w:p>
      <w:pPr>
        <w:pStyle w:val="style0"/>
        <w:ind w:hanging="0" w:left="18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1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El patrono o empresario principal / beneficiario indirecto. ( art. 6/18.251) </w:t>
      </w:r>
    </w:p>
    <w:p>
      <w:pPr>
        <w:pStyle w:val="style22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180" w:right="0"/>
        <w:spacing w:after="0" w:before="0" w:line="100" w:lineRule="atLeast"/>
      </w:pPr>
      <w:r>
        <w:rPr>
          <w:color w:val="17365D"/>
          <w:sz w:val="28"/>
          <w:u w:val="single"/>
          <w:b/>
          <w:szCs w:val="28"/>
        </w:rPr>
        <w:t>Cómo responde ?</w:t>
      </w:r>
    </w:p>
    <w:p>
      <w:pPr>
        <w:pStyle w:val="style0"/>
        <w:ind w:hanging="0" w:left="180" w:right="0"/>
        <w:spacing w:after="0" w:before="0" w:line="100" w:lineRule="atLeast"/>
      </w:pPr>
      <w:r>
        <w:rPr>
          <w:color w:val="17365D"/>
          <w:sz w:val="28"/>
          <w:u w:val="single"/>
          <w:b/>
          <w:szCs w:val="28"/>
        </w:rPr>
      </w:r>
    </w:p>
    <w:p>
      <w:pPr>
        <w:pStyle w:val="style0"/>
        <w:numPr>
          <w:ilvl w:val="2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Solidariamente. </w:t>
      </w:r>
    </w:p>
    <w:p>
      <w:pPr>
        <w:pStyle w:val="style0"/>
        <w:ind w:hanging="0" w:left="36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1080" w:right="0"/>
      </w:pPr>
      <w:r>
        <w:rPr>
          <w:color w:val="17365D"/>
          <w:sz w:val="28"/>
          <w:szCs w:val="28"/>
        </w:rPr>
        <w:t xml:space="preserve">Particularidades de la responsabilidad solidaria en la descentralización empresarial. </w:t>
      </w:r>
    </w:p>
    <w:p>
      <w:pPr>
        <w:pStyle w:val="style0"/>
        <w:ind w:firstLine="336" w:left="1080" w:right="0"/>
      </w:pPr>
      <w:r>
        <w:rPr>
          <w:color w:val="17365D"/>
          <w:sz w:val="28"/>
          <w:szCs w:val="28"/>
        </w:rPr>
        <w:t xml:space="preserve">+ emplazamiento conjunto ( art. 10/18.251) </w:t>
      </w:r>
    </w:p>
    <w:p>
      <w:pPr>
        <w:pStyle w:val="style0"/>
        <w:ind w:firstLine="336" w:left="1080" w:right="0"/>
      </w:pPr>
      <w:r>
        <w:rPr>
          <w:color w:val="17365D"/>
          <w:sz w:val="28"/>
          <w:szCs w:val="28"/>
        </w:rPr>
        <w:t xml:space="preserve">+ división legal de la deuda ( art. 8 /18.251 : responsabilidadad limitada al tiempo en que se benefició de los servicios, desplaza art. 1398 CC.  ) 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2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Subsidiaria. </w:t>
      </w:r>
    </w:p>
    <w:p>
      <w:pPr>
        <w:pStyle w:val="style0"/>
        <w:ind w:hanging="0" w:left="360" w:right="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1080" w:right="0"/>
      </w:pPr>
      <w:r>
        <w:rPr>
          <w:color w:val="17365D"/>
          <w:sz w:val="28"/>
          <w:szCs w:val="28"/>
        </w:rPr>
        <w:t xml:space="preserve">Mecanismo. = “derecho” ¿carga? De informarse : art. 4 /18.251. </w:t>
      </w:r>
    </w:p>
    <w:p>
      <w:pPr>
        <w:pStyle w:val="style0"/>
        <w:ind w:hanging="0" w:left="1080" w:right="0"/>
      </w:pPr>
      <w:r>
        <w:rPr>
          <w:color w:val="17365D"/>
          <w:sz w:val="28"/>
          <w:szCs w:val="28"/>
        </w:rPr>
        <w:t xml:space="preserve">Carga de la prueba de puesta en funcionamiento del mecanismo. ( art. 6/18.251) </w:t>
      </w:r>
    </w:p>
    <w:p>
      <w:pPr>
        <w:pStyle w:val="style0"/>
      </w:pPr>
      <w:r>
        <w:rPr>
          <w:color w:val="17365D"/>
          <w:sz w:val="28"/>
          <w:szCs w:val="28"/>
        </w:rPr>
      </w:r>
    </w:p>
    <w:p>
      <w:pPr>
        <w:pStyle w:val="style0"/>
        <w:ind w:hanging="0" w:left="360" w:right="0"/>
      </w:pPr>
      <w:r>
        <w:rPr>
          <w:color w:val="17365D"/>
          <w:sz w:val="28"/>
          <w:szCs w:val="28"/>
        </w:rPr>
        <w:t xml:space="preserve">   </w:t>
      </w:r>
    </w:p>
    <w:p>
      <w:pPr>
        <w:pStyle w:val="style0"/>
        <w:numPr>
          <w:ilvl w:val="0"/>
          <w:numId w:val="1"/>
        </w:numPr>
        <w:spacing w:after="0" w:before="0" w:line="100" w:lineRule="atLeast"/>
      </w:pPr>
      <w:r>
        <w:rPr>
          <w:color w:val="17365D"/>
          <w:sz w:val="28"/>
          <w:u w:val="single"/>
          <w:b/>
          <w:szCs w:val="28"/>
        </w:rPr>
        <w:t xml:space="preserve">Alcance objetivo de la responsabilidad. </w:t>
      </w:r>
    </w:p>
    <w:p>
      <w:pPr>
        <w:pStyle w:val="style0"/>
        <w:ind w:hanging="0" w:left="720" w:right="0"/>
      </w:pPr>
      <w:r>
        <w:rPr>
          <w:color w:val="17365D"/>
          <w:sz w:val="28"/>
          <w:szCs w:val="28"/>
        </w:rPr>
        <w:t xml:space="preserve">+Obligaciones que atrapa.  ( arts. 1 /18.099,  7/18.251) ( obligaciones de dar , y también de hacer o no hacer ¿?) </w:t>
      </w:r>
    </w:p>
    <w:p>
      <w:pPr>
        <w:pStyle w:val="style0"/>
        <w:ind w:hanging="0" w:left="720" w:right="0"/>
      </w:pPr>
      <w:r>
        <w:rPr>
          <w:color w:val="17365D"/>
          <w:sz w:val="28"/>
          <w:szCs w:val="28"/>
        </w:rPr>
        <w:t xml:space="preserve">+ Período que atrapa.  ( art. 8/18.251) </w:t>
      </w:r>
    </w:p>
    <w:p>
      <w:pPr>
        <w:pStyle w:val="style0"/>
        <w:ind w:hanging="0" w:left="720" w:right="0"/>
      </w:pPr>
      <w:r>
        <w:rPr>
          <w:color w:val="17365D"/>
          <w:sz w:val="28"/>
          <w:b/>
          <w:szCs w:val="28"/>
        </w:rPr>
      </w:r>
    </w:p>
    <w:p>
      <w:pPr>
        <w:pStyle w:val="style0"/>
        <w:numPr>
          <w:ilvl w:val="0"/>
          <w:numId w:val="1"/>
        </w:numPr>
        <w:spacing w:after="0" w:before="0" w:line="100" w:lineRule="atLeast"/>
      </w:pPr>
      <w:r>
        <w:rPr>
          <w:color w:val="17365D"/>
          <w:sz w:val="28"/>
          <w:b/>
          <w:szCs w:val="28"/>
        </w:rPr>
        <w:t xml:space="preserve"> </w:t>
      </w:r>
      <w:r>
        <w:rPr>
          <w:color w:val="17365D"/>
          <w:sz w:val="28"/>
          <w:b/>
          <w:szCs w:val="28"/>
        </w:rPr>
        <w:t xml:space="preserve">Derechos del patrono o empresario principal. </w:t>
      </w:r>
      <w:r>
        <w:rPr>
          <w:color w:val="17365D"/>
          <w:sz w:val="28"/>
          <w:szCs w:val="28"/>
        </w:rPr>
        <w:t xml:space="preserve">( art. 4./18.251 D. de información )  </w:t>
      </w:r>
    </w:p>
    <w:p>
      <w:pPr>
        <w:pStyle w:val="style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0"/>
          <w:numId w:val="1"/>
        </w:numPr>
        <w:spacing w:after="0" w:before="0" w:line="100" w:lineRule="atLeast"/>
      </w:pPr>
      <w:r>
        <w:rPr>
          <w:color w:val="17365D"/>
          <w:sz w:val="28"/>
          <w:b/>
          <w:szCs w:val="28"/>
        </w:rPr>
        <w:t xml:space="preserve">Derechos del trabajador. D. de información </w:t>
      </w:r>
      <w:r>
        <w:rPr>
          <w:color w:val="17365D"/>
          <w:sz w:val="28"/>
          <w:szCs w:val="28"/>
        </w:rPr>
        <w:t xml:space="preserve">( arts. 4/18.099 y art. 9 18.251)   </w:t>
      </w:r>
    </w:p>
    <w:p>
      <w:pPr>
        <w:pStyle w:val="style0"/>
        <w:spacing w:after="0" w:before="0" w:line="100" w:lineRule="atLeast"/>
      </w:pPr>
      <w:r>
        <w:rPr>
          <w:color w:val="17365D"/>
          <w:sz w:val="28"/>
          <w:szCs w:val="28"/>
        </w:rPr>
      </w:r>
    </w:p>
    <w:p>
      <w:pPr>
        <w:pStyle w:val="style0"/>
        <w:numPr>
          <w:ilvl w:val="0"/>
          <w:numId w:val="1"/>
        </w:numPr>
        <w:spacing w:after="0" w:before="0" w:line="100" w:lineRule="atLeast"/>
      </w:pPr>
      <w:r>
        <w:rPr>
          <w:color w:val="17365D"/>
          <w:sz w:val="28"/>
          <w:szCs w:val="28"/>
        </w:rPr>
        <w:t xml:space="preserve">Efectos. </w:t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1070"/>
      </w:pPr>
      <w:rPr>
        <w:b/>
      </w:rPr>
    </w:lvl>
    <w:lvl w:ilvl="1">
      <w:start w:val="1"/>
      <w:numFmt w:val="decimal"/>
      <w:lvlJc w:val="left"/>
      <w:lvlText w:val="%1.%2."/>
      <w:pPr>
        <w:ind w:hanging="720" w:left="1080"/>
      </w:pPr>
    </w:lvl>
    <w:lvl w:ilvl="2">
      <w:start w:val="1"/>
      <w:numFmt w:val="decimal"/>
      <w:lvlJc w:val="left"/>
      <w:lvlText w:val="%1.%2.%3."/>
      <w:pPr>
        <w:ind w:hanging="720" w:left="1080"/>
      </w:pPr>
    </w:lvl>
    <w:lvl w:ilvl="3">
      <w:start w:val="1"/>
      <w:numFmt w:val="decimal"/>
      <w:lvlJc w:val="left"/>
      <w:lvlText w:val="%1.%2.%3.%4."/>
      <w:pPr>
        <w:ind w:hanging="1080" w:left="1440"/>
      </w:pPr>
    </w:lvl>
    <w:lvl w:ilvl="4">
      <w:start w:val="1"/>
      <w:numFmt w:val="decimal"/>
      <w:lvlJc w:val="left"/>
      <w:lvlText w:val="%1.%2.%3.%4.%5."/>
      <w:pPr>
        <w:ind w:hanging="1080" w:left="1440"/>
      </w:pPr>
    </w:lvl>
    <w:lvl w:ilvl="5">
      <w:start w:val="1"/>
      <w:numFmt w:val="decimal"/>
      <w:lvlJc w:val="left"/>
      <w:lvlText w:val="%1.%2.%3.%4.%5.%6."/>
      <w:pPr>
        <w:ind w:hanging="1440" w:left="1800"/>
      </w:pPr>
    </w:lvl>
    <w:lvl w:ilvl="6">
      <w:start w:val="1"/>
      <w:numFmt w:val="decimal"/>
      <w:lvlJc w:val="left"/>
      <w:lvlText w:val="%1.%2.%3.%4.%5.%6.%7."/>
      <w:pPr>
        <w:ind w:hanging="1800" w:left="2160"/>
      </w:pPr>
    </w:lvl>
    <w:lvl w:ilvl="7">
      <w:start w:val="1"/>
      <w:numFmt w:val="decimal"/>
      <w:lvlJc w:val="left"/>
      <w:lvlText w:val="%1.%2.%3.%4.%5.%6.%7.%8."/>
      <w:pPr>
        <w:ind w:hanging="1800" w:left="2160"/>
      </w:pPr>
    </w:lvl>
    <w:lvl w:ilvl="8">
      <w:start w:val="1"/>
      <w:numFmt w:val="decimal"/>
      <w:lvlJc w:val="left"/>
      <w:lvlText w:val="%1.%2.%3.%4.%5.%6.%7.%8.%9."/>
      <w:pPr>
        <w:ind w:hanging="2160" w:left="252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Times New Roman" w:hAnsi="Calibri"/>
      <w:lang w:bidi="ar-SA" w:eastAsia="es-UY" w:val="es-UY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b/>
    </w:rPr>
  </w:style>
  <w:style w:styleId="style17" w:type="paragraph">
    <w:name w:val="Encabezado"/>
    <w:basedOn w:val="style0"/>
    <w:next w:val="style18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18" w:type="paragraph">
    <w:name w:val="Cue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Etiquet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List Paragraph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2014-03-24T18:10:00.00Z</dcterms:created>
  <dc:creator>Rosina</dc:creator>
  <cp:lastModifiedBy>Rosina</cp:lastModifiedBy>
  <dcterms:modified xsi:type="dcterms:W3CDTF">2014-03-24T18:19:00.00Z</dcterms:modified>
  <cp:revision>3</cp:revision>
</cp:coreProperties>
</file>