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E5D" w:rsidRDefault="00233E5D" w:rsidP="00233E5D">
      <w:pPr>
        <w:pStyle w:val="Default"/>
        <w:jc w:val="both"/>
      </w:pPr>
    </w:p>
    <w:p w:rsidR="00233E5D" w:rsidRDefault="00233E5D" w:rsidP="00233E5D">
      <w:pPr>
        <w:pStyle w:val="Default"/>
        <w:jc w:val="both"/>
        <w:rPr>
          <w:sz w:val="22"/>
          <w:szCs w:val="22"/>
        </w:rPr>
      </w:pPr>
      <w:r>
        <w:t xml:space="preserve"> </w:t>
      </w:r>
      <w:r>
        <w:rPr>
          <w:sz w:val="22"/>
          <w:szCs w:val="22"/>
        </w:rPr>
        <w:t xml:space="preserve">1 </w:t>
      </w:r>
    </w:p>
    <w:p w:rsidR="00233E5D" w:rsidRDefault="00233E5D" w:rsidP="00233E5D">
      <w:pPr>
        <w:pStyle w:val="Default"/>
        <w:jc w:val="both"/>
        <w:rPr>
          <w:rFonts w:cstheme="minorBidi"/>
          <w:color w:val="auto"/>
        </w:rPr>
      </w:pPr>
    </w:p>
    <w:p w:rsidR="00233E5D" w:rsidRDefault="00233E5D" w:rsidP="00233E5D">
      <w:pPr>
        <w:pStyle w:val="Default"/>
        <w:jc w:val="both"/>
        <w:rPr>
          <w:color w:val="auto"/>
          <w:sz w:val="28"/>
          <w:szCs w:val="28"/>
        </w:rPr>
      </w:pPr>
      <w:r>
        <w:rPr>
          <w:rFonts w:cstheme="minorBidi"/>
          <w:color w:val="auto"/>
        </w:rPr>
        <w:t xml:space="preserve"> </w:t>
      </w:r>
      <w:r>
        <w:rPr>
          <w:b/>
          <w:bCs/>
          <w:color w:val="auto"/>
          <w:sz w:val="28"/>
          <w:szCs w:val="28"/>
        </w:rPr>
        <w:t xml:space="preserve">CURSO DE DERECHO DEL TRABAJO I </w:t>
      </w:r>
    </w:p>
    <w:p w:rsidR="00233E5D" w:rsidRDefault="00233E5D" w:rsidP="00233E5D">
      <w:pPr>
        <w:pStyle w:val="Default"/>
        <w:jc w:val="both"/>
        <w:rPr>
          <w:color w:val="auto"/>
          <w:sz w:val="28"/>
          <w:szCs w:val="28"/>
        </w:rPr>
      </w:pPr>
      <w:r>
        <w:rPr>
          <w:b/>
          <w:bCs/>
          <w:color w:val="auto"/>
          <w:sz w:val="28"/>
          <w:szCs w:val="28"/>
        </w:rPr>
        <w:t xml:space="preserve">LICENCIATURA EN RELACIONES LABORALES </w:t>
      </w:r>
    </w:p>
    <w:p w:rsidR="00233E5D" w:rsidRDefault="00233E5D" w:rsidP="00233E5D">
      <w:pPr>
        <w:pStyle w:val="Default"/>
        <w:jc w:val="both"/>
        <w:rPr>
          <w:color w:val="auto"/>
          <w:sz w:val="28"/>
          <w:szCs w:val="28"/>
        </w:rPr>
      </w:pPr>
      <w:r>
        <w:rPr>
          <w:b/>
          <w:bCs/>
          <w:color w:val="auto"/>
          <w:sz w:val="28"/>
          <w:szCs w:val="28"/>
        </w:rPr>
        <w:t xml:space="preserve">Prof. Ariel Nicoliello – Carolina Panizza </w:t>
      </w:r>
    </w:p>
    <w:p w:rsidR="00233E5D" w:rsidRDefault="00233E5D" w:rsidP="00233E5D">
      <w:pPr>
        <w:pStyle w:val="Default"/>
        <w:jc w:val="both"/>
        <w:rPr>
          <w:color w:val="auto"/>
          <w:sz w:val="28"/>
          <w:szCs w:val="28"/>
        </w:rPr>
      </w:pPr>
      <w:r>
        <w:rPr>
          <w:b/>
          <w:bCs/>
          <w:color w:val="auto"/>
          <w:sz w:val="28"/>
          <w:szCs w:val="28"/>
        </w:rPr>
        <w:t xml:space="preserve">III. LAS FUENTES DEL DERECHO DEL TRABAJO </w:t>
      </w:r>
    </w:p>
    <w:p w:rsidR="00233E5D" w:rsidRDefault="00233E5D" w:rsidP="00233E5D">
      <w:pPr>
        <w:pStyle w:val="Default"/>
        <w:jc w:val="both"/>
        <w:rPr>
          <w:color w:val="auto"/>
          <w:sz w:val="28"/>
          <w:szCs w:val="28"/>
        </w:rPr>
      </w:pPr>
      <w:r>
        <w:rPr>
          <w:color w:val="auto"/>
          <w:sz w:val="28"/>
          <w:szCs w:val="28"/>
        </w:rPr>
        <w:t xml:space="preserve">III.1. </w:t>
      </w:r>
      <w:r>
        <w:rPr>
          <w:b/>
          <w:bCs/>
          <w:i/>
          <w:iCs/>
          <w:color w:val="auto"/>
          <w:sz w:val="28"/>
          <w:szCs w:val="28"/>
        </w:rPr>
        <w:t xml:space="preserve">Concepto. </w:t>
      </w:r>
      <w:r>
        <w:rPr>
          <w:color w:val="auto"/>
          <w:sz w:val="28"/>
          <w:szCs w:val="28"/>
        </w:rPr>
        <w:t xml:space="preserve">Las fuentes del derecho son los mecanismos (actos o hechos) de creación de las normas jurídicas. Se puede hablar de fuente en un sentido material (un determinado tipo de norma), como en sentido formal (el origen de la norma, es decir, un determinado procedimiento autorizado para crear normas). También existe un concepto mixto, que combina el criterio formal y el criterio material: una clase o tipo de norma que requiere otra norma (que la teoría denomina “constitutiva” porque otorga el poder de creación de normas, a diferencia de la norma meramente “regulativa” de las conductas) que la reconoce como fuente. </w:t>
      </w:r>
    </w:p>
    <w:p w:rsidR="00233E5D" w:rsidRDefault="00233E5D" w:rsidP="00233E5D">
      <w:pPr>
        <w:pStyle w:val="Default"/>
        <w:jc w:val="both"/>
        <w:rPr>
          <w:color w:val="auto"/>
          <w:sz w:val="28"/>
          <w:szCs w:val="28"/>
        </w:rPr>
      </w:pPr>
      <w:r>
        <w:rPr>
          <w:color w:val="auto"/>
          <w:sz w:val="28"/>
          <w:szCs w:val="28"/>
        </w:rPr>
        <w:t xml:space="preserve">En ese sentido, por ejemplo, la ley es una fuente del derecho, porque sus disposiciones contienen reglas de conducta coercibles, de carácter general y abstracto, y existen disposiciones constitucionales que prevén su creación por el Poder Legislativo. Pero también es un tipo de fuente el convenio colectivo, porque contiene normas generales, abstractas y coercibles, y existen normas legales que le reconocen fuerza obligatoria. </w:t>
      </w:r>
    </w:p>
    <w:p w:rsidR="00233E5D" w:rsidRDefault="00233E5D" w:rsidP="00233E5D">
      <w:pPr>
        <w:pStyle w:val="Default"/>
        <w:jc w:val="both"/>
        <w:rPr>
          <w:color w:val="auto"/>
          <w:sz w:val="28"/>
          <w:szCs w:val="28"/>
        </w:rPr>
      </w:pPr>
      <w:r>
        <w:rPr>
          <w:color w:val="auto"/>
          <w:sz w:val="28"/>
          <w:szCs w:val="28"/>
        </w:rPr>
        <w:t xml:space="preserve">III.2. </w:t>
      </w:r>
      <w:r>
        <w:rPr>
          <w:b/>
          <w:bCs/>
          <w:i/>
          <w:iCs/>
          <w:color w:val="auto"/>
          <w:sz w:val="28"/>
          <w:szCs w:val="28"/>
        </w:rPr>
        <w:t xml:space="preserve">Clases de fuentes. </w:t>
      </w:r>
      <w:r>
        <w:rPr>
          <w:color w:val="auto"/>
          <w:sz w:val="28"/>
          <w:szCs w:val="28"/>
        </w:rPr>
        <w:t xml:space="preserve">Existen distintas fuentes, que a su vez pueden ser clasificadas. Una primera clasificación distingue fuentes </w:t>
      </w:r>
      <w:r>
        <w:rPr>
          <w:i/>
          <w:iCs/>
          <w:color w:val="auto"/>
          <w:sz w:val="28"/>
          <w:szCs w:val="28"/>
        </w:rPr>
        <w:t xml:space="preserve">comunes </w:t>
      </w:r>
      <w:r>
        <w:rPr>
          <w:color w:val="auto"/>
          <w:sz w:val="28"/>
          <w:szCs w:val="28"/>
        </w:rPr>
        <w:t xml:space="preserve">y </w:t>
      </w:r>
      <w:r>
        <w:rPr>
          <w:i/>
          <w:iCs/>
          <w:color w:val="auto"/>
          <w:sz w:val="28"/>
          <w:szCs w:val="28"/>
        </w:rPr>
        <w:t>especiales</w:t>
      </w:r>
      <w:r>
        <w:rPr>
          <w:color w:val="auto"/>
          <w:sz w:val="28"/>
          <w:szCs w:val="28"/>
        </w:rPr>
        <w:t xml:space="preserve">. </w:t>
      </w:r>
    </w:p>
    <w:p w:rsidR="00233E5D" w:rsidRDefault="00233E5D" w:rsidP="00233E5D">
      <w:pPr>
        <w:pStyle w:val="Default"/>
        <w:jc w:val="both"/>
        <w:rPr>
          <w:color w:val="auto"/>
          <w:sz w:val="28"/>
          <w:szCs w:val="28"/>
        </w:rPr>
      </w:pPr>
      <w:r>
        <w:rPr>
          <w:color w:val="auto"/>
          <w:sz w:val="28"/>
          <w:szCs w:val="28"/>
        </w:rPr>
        <w:t xml:space="preserve">Las </w:t>
      </w:r>
      <w:r>
        <w:rPr>
          <w:i/>
          <w:iCs/>
          <w:color w:val="auto"/>
          <w:sz w:val="28"/>
          <w:szCs w:val="28"/>
        </w:rPr>
        <w:t xml:space="preserve">fuentes comunes </w:t>
      </w:r>
      <w:r>
        <w:rPr>
          <w:color w:val="auto"/>
          <w:sz w:val="28"/>
          <w:szCs w:val="28"/>
        </w:rPr>
        <w:t xml:space="preserve">son aquellas que podemos encontrar también en otros sectores del Derecho: la Constitución, la ley, el reglamento, las convenciones internacionales. </w:t>
      </w:r>
    </w:p>
    <w:p w:rsidR="00233E5D" w:rsidRDefault="00233E5D" w:rsidP="00233E5D">
      <w:pPr>
        <w:pStyle w:val="Default"/>
        <w:jc w:val="both"/>
        <w:rPr>
          <w:color w:val="auto"/>
          <w:sz w:val="28"/>
          <w:szCs w:val="28"/>
        </w:rPr>
      </w:pPr>
      <w:r>
        <w:rPr>
          <w:color w:val="auto"/>
          <w:sz w:val="28"/>
          <w:szCs w:val="28"/>
        </w:rPr>
        <w:t xml:space="preserve">Las </w:t>
      </w:r>
      <w:r>
        <w:rPr>
          <w:i/>
          <w:iCs/>
          <w:color w:val="auto"/>
          <w:sz w:val="28"/>
          <w:szCs w:val="28"/>
        </w:rPr>
        <w:t xml:space="preserve">fuentes especiales </w:t>
      </w:r>
      <w:r>
        <w:rPr>
          <w:color w:val="auto"/>
          <w:sz w:val="28"/>
          <w:szCs w:val="28"/>
        </w:rPr>
        <w:t xml:space="preserve">son aquellas propias del Derecho del Trabajo: el convenio colectivo, los laudos de los Consejos de Salarios, los convenios internacionales de trabajo. </w:t>
      </w:r>
    </w:p>
    <w:p w:rsidR="00233E5D" w:rsidRDefault="00233E5D" w:rsidP="00233E5D">
      <w:pPr>
        <w:pStyle w:val="Default"/>
        <w:jc w:val="both"/>
        <w:rPr>
          <w:color w:val="auto"/>
          <w:sz w:val="22"/>
          <w:szCs w:val="22"/>
        </w:rPr>
      </w:pPr>
      <w:r>
        <w:rPr>
          <w:color w:val="auto"/>
          <w:sz w:val="28"/>
          <w:szCs w:val="28"/>
        </w:rPr>
        <w:t xml:space="preserve">III.3. También es posible clasificar a las fuentes en </w:t>
      </w:r>
      <w:proofErr w:type="spellStart"/>
      <w:r>
        <w:rPr>
          <w:color w:val="auto"/>
          <w:sz w:val="28"/>
          <w:szCs w:val="28"/>
        </w:rPr>
        <w:t>etáticas</w:t>
      </w:r>
      <w:proofErr w:type="spellEnd"/>
      <w:r>
        <w:rPr>
          <w:color w:val="auto"/>
          <w:sz w:val="28"/>
          <w:szCs w:val="28"/>
        </w:rPr>
        <w:t xml:space="preserve">, </w:t>
      </w:r>
      <w:proofErr w:type="spellStart"/>
      <w:r>
        <w:rPr>
          <w:color w:val="auto"/>
          <w:sz w:val="28"/>
          <w:szCs w:val="28"/>
        </w:rPr>
        <w:t>supraetáticas</w:t>
      </w:r>
      <w:proofErr w:type="spellEnd"/>
      <w:r>
        <w:rPr>
          <w:color w:val="auto"/>
          <w:sz w:val="28"/>
          <w:szCs w:val="28"/>
        </w:rPr>
        <w:t xml:space="preserve"> y </w:t>
      </w:r>
      <w:proofErr w:type="spellStart"/>
      <w:r>
        <w:rPr>
          <w:color w:val="auto"/>
          <w:sz w:val="28"/>
          <w:szCs w:val="28"/>
        </w:rPr>
        <w:t>extraetáticas</w:t>
      </w:r>
      <w:proofErr w:type="spellEnd"/>
      <w:r>
        <w:rPr>
          <w:color w:val="auto"/>
          <w:sz w:val="28"/>
          <w:szCs w:val="28"/>
        </w:rPr>
        <w:t xml:space="preserve">. </w:t>
      </w:r>
      <w:r>
        <w:rPr>
          <w:color w:val="auto"/>
          <w:sz w:val="22"/>
          <w:szCs w:val="22"/>
        </w:rPr>
        <w:t xml:space="preserve">2 </w:t>
      </w:r>
    </w:p>
    <w:p w:rsidR="00233E5D" w:rsidRDefault="00233E5D" w:rsidP="00233E5D">
      <w:pPr>
        <w:pStyle w:val="Default"/>
        <w:jc w:val="both"/>
        <w:rPr>
          <w:rFonts w:cstheme="minorBidi"/>
          <w:color w:val="auto"/>
        </w:rPr>
      </w:pPr>
    </w:p>
    <w:p w:rsidR="00233E5D" w:rsidRDefault="00233E5D" w:rsidP="00233E5D">
      <w:pPr>
        <w:pStyle w:val="Default"/>
        <w:pageBreakBefore/>
        <w:jc w:val="both"/>
        <w:rPr>
          <w:color w:val="auto"/>
          <w:sz w:val="28"/>
          <w:szCs w:val="28"/>
        </w:rPr>
      </w:pPr>
      <w:r>
        <w:rPr>
          <w:rFonts w:cstheme="minorBidi"/>
          <w:color w:val="auto"/>
          <w:sz w:val="28"/>
          <w:szCs w:val="28"/>
        </w:rPr>
        <w:lastRenderedPageBreak/>
        <w:t xml:space="preserve">Las fuentes </w:t>
      </w:r>
      <w:proofErr w:type="spellStart"/>
      <w:r>
        <w:rPr>
          <w:i/>
          <w:iCs/>
          <w:color w:val="auto"/>
          <w:sz w:val="28"/>
          <w:szCs w:val="28"/>
        </w:rPr>
        <w:t>etáticas</w:t>
      </w:r>
      <w:proofErr w:type="spellEnd"/>
      <w:r>
        <w:rPr>
          <w:i/>
          <w:iCs/>
          <w:color w:val="auto"/>
          <w:sz w:val="28"/>
          <w:szCs w:val="28"/>
        </w:rPr>
        <w:t xml:space="preserve"> </w:t>
      </w:r>
      <w:r>
        <w:rPr>
          <w:color w:val="auto"/>
          <w:sz w:val="28"/>
          <w:szCs w:val="28"/>
        </w:rPr>
        <w:t xml:space="preserve">son aquellas que provienen de las autoridades estatales autorizadas por la Constitución para su creación: la ley, el decreto, etc. </w:t>
      </w:r>
    </w:p>
    <w:p w:rsidR="00233E5D" w:rsidRDefault="00233E5D" w:rsidP="00233E5D">
      <w:pPr>
        <w:pStyle w:val="Default"/>
        <w:jc w:val="both"/>
        <w:rPr>
          <w:color w:val="auto"/>
          <w:sz w:val="28"/>
          <w:szCs w:val="28"/>
        </w:rPr>
      </w:pPr>
      <w:r>
        <w:rPr>
          <w:color w:val="auto"/>
          <w:sz w:val="28"/>
          <w:szCs w:val="28"/>
        </w:rPr>
        <w:t xml:space="preserve">Las fuentes </w:t>
      </w:r>
      <w:proofErr w:type="spellStart"/>
      <w:r>
        <w:rPr>
          <w:i/>
          <w:iCs/>
          <w:color w:val="auto"/>
          <w:sz w:val="28"/>
          <w:szCs w:val="28"/>
        </w:rPr>
        <w:t>supraetáticas</w:t>
      </w:r>
      <w:proofErr w:type="spellEnd"/>
      <w:r>
        <w:rPr>
          <w:i/>
          <w:iCs/>
          <w:color w:val="auto"/>
          <w:sz w:val="28"/>
          <w:szCs w:val="28"/>
        </w:rPr>
        <w:t xml:space="preserve"> </w:t>
      </w:r>
      <w:r>
        <w:rPr>
          <w:color w:val="auto"/>
          <w:sz w:val="28"/>
          <w:szCs w:val="28"/>
        </w:rPr>
        <w:t xml:space="preserve">son aquellas originadas en la comunidad internacional, en particular los organismos internacionales de los cuales la República forma parte: los tratados internacionales y los convenios internacionales de trabajo. </w:t>
      </w:r>
    </w:p>
    <w:p w:rsidR="00233E5D" w:rsidRDefault="00233E5D" w:rsidP="00233E5D">
      <w:pPr>
        <w:pStyle w:val="Default"/>
        <w:jc w:val="both"/>
        <w:rPr>
          <w:color w:val="auto"/>
          <w:sz w:val="28"/>
          <w:szCs w:val="28"/>
        </w:rPr>
      </w:pPr>
      <w:r>
        <w:rPr>
          <w:color w:val="auto"/>
          <w:sz w:val="28"/>
          <w:szCs w:val="28"/>
        </w:rPr>
        <w:t xml:space="preserve">Las fuentes </w:t>
      </w:r>
      <w:proofErr w:type="spellStart"/>
      <w:r>
        <w:rPr>
          <w:i/>
          <w:iCs/>
          <w:color w:val="auto"/>
          <w:sz w:val="28"/>
          <w:szCs w:val="28"/>
        </w:rPr>
        <w:t>extraetáticas</w:t>
      </w:r>
      <w:proofErr w:type="spellEnd"/>
      <w:r>
        <w:rPr>
          <w:i/>
          <w:iCs/>
          <w:color w:val="auto"/>
          <w:sz w:val="28"/>
          <w:szCs w:val="28"/>
        </w:rPr>
        <w:t xml:space="preserve"> </w:t>
      </w:r>
      <w:r>
        <w:rPr>
          <w:color w:val="auto"/>
          <w:sz w:val="28"/>
          <w:szCs w:val="28"/>
        </w:rPr>
        <w:t xml:space="preserve">no son creadas por el Estado, sino por los empleadores y las organizaciones de trabajadores: el ejemplo más claro es el convenio colectivo. Aunque el Estado no es el creador de la norma, son las fuentes estatales o supraestatales las que reconocen y dan vigor jurídico a las fuentes </w:t>
      </w:r>
      <w:proofErr w:type="spellStart"/>
      <w:r>
        <w:rPr>
          <w:color w:val="auto"/>
          <w:sz w:val="28"/>
          <w:szCs w:val="28"/>
        </w:rPr>
        <w:t>extraetáticas</w:t>
      </w:r>
      <w:proofErr w:type="spellEnd"/>
      <w:r>
        <w:rPr>
          <w:color w:val="auto"/>
          <w:sz w:val="28"/>
          <w:szCs w:val="28"/>
        </w:rPr>
        <w:t xml:space="preserve">. </w:t>
      </w:r>
    </w:p>
    <w:p w:rsidR="00233E5D" w:rsidRDefault="00233E5D" w:rsidP="00233E5D">
      <w:pPr>
        <w:pStyle w:val="Default"/>
        <w:jc w:val="both"/>
        <w:rPr>
          <w:color w:val="auto"/>
          <w:sz w:val="28"/>
          <w:szCs w:val="28"/>
        </w:rPr>
      </w:pPr>
      <w:r>
        <w:rPr>
          <w:color w:val="auto"/>
          <w:sz w:val="28"/>
          <w:szCs w:val="28"/>
        </w:rPr>
        <w:t xml:space="preserve">III.4. </w:t>
      </w:r>
      <w:r>
        <w:rPr>
          <w:b/>
          <w:bCs/>
          <w:i/>
          <w:iCs/>
          <w:color w:val="auto"/>
          <w:sz w:val="28"/>
          <w:szCs w:val="28"/>
        </w:rPr>
        <w:t xml:space="preserve">Particularidades del sistema de fuentes. </w:t>
      </w:r>
      <w:r>
        <w:rPr>
          <w:color w:val="auto"/>
          <w:sz w:val="28"/>
          <w:szCs w:val="28"/>
        </w:rPr>
        <w:t xml:space="preserve">Las fuentes del derecho se ordenan según un criterio de </w:t>
      </w:r>
      <w:r>
        <w:rPr>
          <w:i/>
          <w:iCs/>
          <w:color w:val="auto"/>
          <w:sz w:val="28"/>
          <w:szCs w:val="28"/>
        </w:rPr>
        <w:t>jerarquía</w:t>
      </w:r>
      <w:r>
        <w:rPr>
          <w:color w:val="auto"/>
          <w:sz w:val="28"/>
          <w:szCs w:val="28"/>
        </w:rPr>
        <w:t xml:space="preserve">. Existe una estructura jerárquica piramidal donde la norma inferior debe ajustarse a los mandatos de la norma superior. Así, la ley debe ajustarse a la Constitución (en caso de contradicción, se podrá solicitar a la Suprema Corte de Justicia que declare, en el caso concreto, la inaplicabilidad de la ley por inconstitucional), y el reglamento debe ajustarse a la ley (en caso de contradicción, cualquier juez deberá aplicar la norma legal y desaplicar el reglamento ilegal). </w:t>
      </w:r>
    </w:p>
    <w:p w:rsidR="00233E5D" w:rsidRDefault="00233E5D" w:rsidP="00233E5D">
      <w:pPr>
        <w:pStyle w:val="Default"/>
        <w:jc w:val="both"/>
        <w:rPr>
          <w:color w:val="auto"/>
          <w:sz w:val="28"/>
          <w:szCs w:val="28"/>
        </w:rPr>
      </w:pPr>
      <w:r>
        <w:rPr>
          <w:color w:val="auto"/>
          <w:sz w:val="28"/>
          <w:szCs w:val="28"/>
        </w:rPr>
        <w:t xml:space="preserve">Pero el sistema de fuentes en el Derecho del Trabajo tiene ciertas particularidades. </w:t>
      </w:r>
    </w:p>
    <w:p w:rsidR="00233E5D" w:rsidRDefault="00233E5D" w:rsidP="00233E5D">
      <w:pPr>
        <w:pStyle w:val="Default"/>
        <w:jc w:val="both"/>
        <w:rPr>
          <w:color w:val="auto"/>
          <w:sz w:val="22"/>
          <w:szCs w:val="22"/>
        </w:rPr>
      </w:pPr>
      <w:r>
        <w:rPr>
          <w:color w:val="auto"/>
          <w:sz w:val="28"/>
          <w:szCs w:val="28"/>
        </w:rPr>
        <w:t xml:space="preserve">Una de ellas es que la contradicción entre las normas de diferente fuente no se resuelve siempre por un criterio de jerarquía, sino aplicando la disposición (aún de inferior jerarquía) más favorable para el trabajador (regla denominada “de la norma más favorable” o del “sobrepujamiento”). Las normas del trabajo fijan mínimos, que pueden ser superados por otras normas, aún de jerarquía inferior. Está regla está consagrada en el artículo 19.8 de la Constitución de la Organización Internacional del Trabajo, en lo que refiere al convenio internacional: “En ningún caso podrá considerarse que la adopción de un convenio o de una recomendación por la Conferencia, o la ratificación de un convenio por cualquier Miembro, menoscabará cualquier ley, sentencia, costumbre o </w:t>
      </w:r>
      <w:r>
        <w:rPr>
          <w:color w:val="auto"/>
          <w:sz w:val="22"/>
          <w:szCs w:val="22"/>
        </w:rPr>
        <w:t xml:space="preserve">3 </w:t>
      </w:r>
    </w:p>
    <w:p w:rsidR="00233E5D" w:rsidRDefault="00233E5D" w:rsidP="00233E5D">
      <w:pPr>
        <w:pStyle w:val="Default"/>
        <w:jc w:val="both"/>
        <w:rPr>
          <w:rFonts w:cstheme="minorBidi"/>
          <w:color w:val="auto"/>
        </w:rPr>
      </w:pPr>
    </w:p>
    <w:p w:rsidR="00233E5D" w:rsidRDefault="00233E5D" w:rsidP="00233E5D">
      <w:pPr>
        <w:pStyle w:val="Default"/>
        <w:pageBreakBefore/>
        <w:jc w:val="both"/>
        <w:rPr>
          <w:rFonts w:cstheme="minorBidi"/>
          <w:color w:val="auto"/>
          <w:sz w:val="28"/>
          <w:szCs w:val="28"/>
        </w:rPr>
      </w:pPr>
      <w:proofErr w:type="gramStart"/>
      <w:r>
        <w:rPr>
          <w:rFonts w:cstheme="minorBidi"/>
          <w:color w:val="auto"/>
          <w:sz w:val="28"/>
          <w:szCs w:val="28"/>
        </w:rPr>
        <w:lastRenderedPageBreak/>
        <w:t>acuerdo</w:t>
      </w:r>
      <w:proofErr w:type="gramEnd"/>
      <w:r>
        <w:rPr>
          <w:rFonts w:cstheme="minorBidi"/>
          <w:color w:val="auto"/>
          <w:sz w:val="28"/>
          <w:szCs w:val="28"/>
        </w:rPr>
        <w:t xml:space="preserve"> que garantice a los trabajadores condiciones más favorables que las que figuren en el convenio o la recomendación”. </w:t>
      </w:r>
    </w:p>
    <w:p w:rsidR="00233E5D" w:rsidRDefault="00233E5D" w:rsidP="00233E5D">
      <w:pPr>
        <w:pStyle w:val="Default"/>
        <w:jc w:val="both"/>
        <w:rPr>
          <w:rFonts w:cstheme="minorBidi"/>
          <w:color w:val="auto"/>
          <w:sz w:val="28"/>
          <w:szCs w:val="28"/>
        </w:rPr>
      </w:pPr>
      <w:r>
        <w:rPr>
          <w:rFonts w:cstheme="minorBidi"/>
          <w:color w:val="auto"/>
          <w:sz w:val="28"/>
          <w:szCs w:val="28"/>
        </w:rPr>
        <w:t xml:space="preserve">Una segunda particularidad es que no siempre puede establecerse claramente una relación de jerarquía. Así, por ejemplo, no es fácil determinar si el reglamento y el convenio colectivo se encuentran en el mismo o en diferentes planos jerárquicos. Lo mismo ocurre con la ley y el convenio internacional de trabajo. </w:t>
      </w:r>
    </w:p>
    <w:p w:rsidR="00233E5D" w:rsidRDefault="00233E5D" w:rsidP="00233E5D">
      <w:pPr>
        <w:pStyle w:val="Default"/>
        <w:jc w:val="both"/>
        <w:rPr>
          <w:color w:val="auto"/>
          <w:sz w:val="28"/>
          <w:szCs w:val="28"/>
        </w:rPr>
      </w:pPr>
      <w:r>
        <w:rPr>
          <w:b/>
          <w:bCs/>
          <w:color w:val="auto"/>
          <w:sz w:val="28"/>
          <w:szCs w:val="28"/>
        </w:rPr>
        <w:t xml:space="preserve">Fuentes formales </w:t>
      </w:r>
    </w:p>
    <w:p w:rsidR="00233E5D" w:rsidRDefault="00233E5D" w:rsidP="00233E5D">
      <w:pPr>
        <w:pStyle w:val="Default"/>
        <w:jc w:val="both"/>
        <w:rPr>
          <w:color w:val="auto"/>
          <w:sz w:val="28"/>
          <w:szCs w:val="28"/>
        </w:rPr>
      </w:pPr>
      <w:r>
        <w:rPr>
          <w:color w:val="auto"/>
          <w:sz w:val="28"/>
          <w:szCs w:val="28"/>
        </w:rPr>
        <w:t xml:space="preserve">III.5. </w:t>
      </w:r>
      <w:r>
        <w:rPr>
          <w:b/>
          <w:bCs/>
          <w:i/>
          <w:iCs/>
          <w:color w:val="auto"/>
          <w:sz w:val="28"/>
          <w:szCs w:val="28"/>
        </w:rPr>
        <w:t>La Constitución</w:t>
      </w:r>
      <w:r>
        <w:rPr>
          <w:color w:val="auto"/>
          <w:sz w:val="28"/>
          <w:szCs w:val="28"/>
        </w:rPr>
        <w:t xml:space="preserve">. El reconocimiento de los derechos laborales como derechos humanos fundamentales tuvo por efecto su incorporación, tanto a las convenciones internacionales como a las constituciones de los Estados. Este último fenómeno es conocido como la </w:t>
      </w:r>
      <w:proofErr w:type="spellStart"/>
      <w:r>
        <w:rPr>
          <w:color w:val="auto"/>
          <w:sz w:val="28"/>
          <w:szCs w:val="28"/>
        </w:rPr>
        <w:t>constitucionalización</w:t>
      </w:r>
      <w:proofErr w:type="spellEnd"/>
      <w:r>
        <w:rPr>
          <w:color w:val="auto"/>
          <w:sz w:val="28"/>
          <w:szCs w:val="28"/>
        </w:rPr>
        <w:t xml:space="preserve"> del Derecho del Trabajo. </w:t>
      </w:r>
    </w:p>
    <w:p w:rsidR="00233E5D" w:rsidRDefault="00233E5D" w:rsidP="00233E5D">
      <w:pPr>
        <w:pStyle w:val="Default"/>
        <w:jc w:val="both"/>
        <w:rPr>
          <w:color w:val="auto"/>
          <w:sz w:val="28"/>
          <w:szCs w:val="28"/>
        </w:rPr>
      </w:pPr>
      <w:r>
        <w:rPr>
          <w:color w:val="auto"/>
          <w:sz w:val="28"/>
          <w:szCs w:val="28"/>
        </w:rPr>
        <w:t xml:space="preserve">Nuestra Constitución, desde 1934, consagra el principio general de protección especial del trabajo (artículo 53 inciso primero: “el trabajo está bajo la protección especial de la ley”), y manda al legislador reconocer “a quien se hallare en una relación de trabajo o servicio, como obrero o empleado, la independencia de su conciencia moral y cívica; la justa remuneración; la limitación de la jornada, el descanso semanal y la higiene física y moral” (artículo 54). Están aquí delineados los grandes temas del Derecho Individual del Trabajo: el salario, la reglamentación del tiempo de trabajo, la protección del trabajador en lo físico y lo moral. También establece, en el artículo 56, que “toda empresa cuyas características determinen la permanencia del personal en el respectivo establecimiento, estará obligada a proporcionarle alimentación y alojamiento adecuados, en las condiciones que la ley establecerá”. </w:t>
      </w:r>
    </w:p>
    <w:p w:rsidR="00233E5D" w:rsidRDefault="00233E5D" w:rsidP="00233E5D">
      <w:pPr>
        <w:pStyle w:val="Default"/>
        <w:jc w:val="both"/>
        <w:rPr>
          <w:color w:val="auto"/>
          <w:sz w:val="28"/>
          <w:szCs w:val="28"/>
        </w:rPr>
      </w:pPr>
      <w:r>
        <w:rPr>
          <w:color w:val="auto"/>
          <w:sz w:val="28"/>
          <w:szCs w:val="28"/>
        </w:rPr>
        <w:t>En el plano colectivo, la Constitución reconoce, en su artículo 57, la libertad sindical, al establecer que “la ley promoverá la organización de sindicatos gremiales” y reconoce el derecho de huelga (“</w:t>
      </w:r>
      <w:proofErr w:type="spellStart"/>
      <w:r>
        <w:rPr>
          <w:color w:val="auto"/>
          <w:sz w:val="28"/>
          <w:szCs w:val="28"/>
        </w:rPr>
        <w:t>Declárase</w:t>
      </w:r>
      <w:proofErr w:type="spellEnd"/>
      <w:r>
        <w:rPr>
          <w:color w:val="auto"/>
          <w:sz w:val="28"/>
          <w:szCs w:val="28"/>
        </w:rPr>
        <w:t xml:space="preserve"> que la huelga es un derecho gremial. Sobre esta base se reglamentará su ejercicio y efectividad”). </w:t>
      </w:r>
    </w:p>
    <w:p w:rsidR="00233E5D" w:rsidRDefault="00233E5D" w:rsidP="00233E5D">
      <w:pPr>
        <w:pStyle w:val="Default"/>
        <w:jc w:val="both"/>
        <w:rPr>
          <w:color w:val="auto"/>
          <w:sz w:val="22"/>
          <w:szCs w:val="22"/>
        </w:rPr>
      </w:pPr>
      <w:r>
        <w:rPr>
          <w:color w:val="auto"/>
          <w:sz w:val="28"/>
          <w:szCs w:val="28"/>
        </w:rPr>
        <w:t xml:space="preserve">Por otra parte, en nuestra Constitución, como ocurre también en otros países, además de los derechos laborales reconocidos expresamente en el </w:t>
      </w:r>
      <w:r>
        <w:rPr>
          <w:color w:val="auto"/>
          <w:sz w:val="22"/>
          <w:szCs w:val="22"/>
        </w:rPr>
        <w:t xml:space="preserve">4 </w:t>
      </w:r>
    </w:p>
    <w:p w:rsidR="00233E5D" w:rsidRDefault="00233E5D" w:rsidP="00233E5D">
      <w:pPr>
        <w:pStyle w:val="Default"/>
        <w:jc w:val="both"/>
        <w:rPr>
          <w:rFonts w:cstheme="minorBidi"/>
          <w:color w:val="auto"/>
        </w:rPr>
      </w:pPr>
    </w:p>
    <w:p w:rsidR="00233E5D" w:rsidRDefault="00233E5D" w:rsidP="00233E5D">
      <w:pPr>
        <w:pStyle w:val="Default"/>
        <w:pageBreakBefore/>
        <w:jc w:val="both"/>
        <w:rPr>
          <w:rFonts w:cstheme="minorBidi"/>
          <w:color w:val="auto"/>
          <w:sz w:val="28"/>
          <w:szCs w:val="28"/>
        </w:rPr>
      </w:pPr>
      <w:proofErr w:type="gramStart"/>
      <w:r>
        <w:rPr>
          <w:rFonts w:cstheme="minorBidi"/>
          <w:color w:val="auto"/>
          <w:sz w:val="28"/>
          <w:szCs w:val="28"/>
        </w:rPr>
        <w:lastRenderedPageBreak/>
        <w:t>texto</w:t>
      </w:r>
      <w:proofErr w:type="gramEnd"/>
      <w:r>
        <w:rPr>
          <w:rFonts w:cstheme="minorBidi"/>
          <w:color w:val="auto"/>
          <w:sz w:val="28"/>
          <w:szCs w:val="28"/>
        </w:rPr>
        <w:t xml:space="preserve">, existen otros que forman parte del denominado “bloque de constitucionalidad”. Esta expresión alude al conjunto de derechos humanos fundamentales del trabajo, tanto aquellos específicamente laborales, como los llamados “inespecíficos”, es decir, no estrictamente laborales pero que tienen repercusión o adquieren una dimensión especial en la relación de trabajo. Los derechos fundamentales que forman parte del bloque de constitucionalidad se incorporan al texto constitucional por la remisión que efectúa el artículo 72 de la Constitución. Esta norma establece: “La enumeración de derechos, deberes y garantías hecha por la Constitución, no excluye los otros que son inherentes a la personalidad humana o se derivan de la forma republicana de gobierno”. Para conocer esos derechos humanos que forman parte del bloque de constitucionalidad podemos recurrir a las normas internacionales, que reflejan el consenso de la comunidad internacional o “conciencia jurídica universal”. </w:t>
      </w:r>
    </w:p>
    <w:p w:rsidR="00233E5D" w:rsidRDefault="00233E5D" w:rsidP="00233E5D">
      <w:pPr>
        <w:pStyle w:val="Default"/>
        <w:jc w:val="both"/>
        <w:rPr>
          <w:rFonts w:cstheme="minorBidi"/>
          <w:color w:val="auto"/>
          <w:sz w:val="28"/>
          <w:szCs w:val="28"/>
        </w:rPr>
      </w:pPr>
      <w:r>
        <w:rPr>
          <w:rFonts w:cstheme="minorBidi"/>
          <w:color w:val="auto"/>
          <w:sz w:val="28"/>
          <w:szCs w:val="28"/>
        </w:rPr>
        <w:t xml:space="preserve">Tanto por los derechos laborales que expresamente consagra, como por aquellos que integra a su texto por el artículo 72 (“bloque de constitucionalidad”), la Constitución es una fuente importante del Derecho del Trabajo, en razón de su jerarquía normativa y la amplia extensión de los derechos reconocidos. </w:t>
      </w:r>
    </w:p>
    <w:p w:rsidR="00233E5D" w:rsidRDefault="00233E5D" w:rsidP="00233E5D">
      <w:pPr>
        <w:pStyle w:val="Default"/>
        <w:jc w:val="both"/>
        <w:rPr>
          <w:color w:val="auto"/>
          <w:sz w:val="28"/>
          <w:szCs w:val="28"/>
        </w:rPr>
      </w:pPr>
      <w:r>
        <w:rPr>
          <w:rFonts w:cstheme="minorBidi"/>
          <w:color w:val="auto"/>
          <w:sz w:val="28"/>
          <w:szCs w:val="28"/>
        </w:rPr>
        <w:t xml:space="preserve">III.6. </w:t>
      </w:r>
      <w:r>
        <w:rPr>
          <w:b/>
          <w:bCs/>
          <w:i/>
          <w:iCs/>
          <w:color w:val="auto"/>
          <w:sz w:val="28"/>
          <w:szCs w:val="28"/>
        </w:rPr>
        <w:t>Las normas internacionales del trabajo</w:t>
      </w:r>
      <w:r>
        <w:rPr>
          <w:color w:val="auto"/>
          <w:sz w:val="28"/>
          <w:szCs w:val="28"/>
        </w:rPr>
        <w:t xml:space="preserve">. Existen tratados y convenciones internacionales que se refieren al trabajo, así como un tipo de norma internacional específica: el convenio internacional de trabajo, que se caracteriza por su elaboración en el ámbito de un organismo internacional tripartito, la OIT. </w:t>
      </w:r>
    </w:p>
    <w:p w:rsidR="00233E5D" w:rsidRDefault="00233E5D" w:rsidP="00233E5D">
      <w:pPr>
        <w:pStyle w:val="Default"/>
        <w:jc w:val="both"/>
        <w:rPr>
          <w:color w:val="auto"/>
          <w:sz w:val="28"/>
          <w:szCs w:val="28"/>
        </w:rPr>
      </w:pPr>
      <w:r>
        <w:rPr>
          <w:color w:val="auto"/>
          <w:sz w:val="28"/>
          <w:szCs w:val="28"/>
        </w:rPr>
        <w:t xml:space="preserve">Entre los tratados y convenciones internacionales, se destacan aquellos que tratan de los </w:t>
      </w:r>
      <w:r>
        <w:rPr>
          <w:i/>
          <w:iCs/>
          <w:color w:val="auto"/>
          <w:sz w:val="28"/>
          <w:szCs w:val="28"/>
        </w:rPr>
        <w:t>derechos humanos fundamentales</w:t>
      </w:r>
      <w:r>
        <w:rPr>
          <w:color w:val="auto"/>
          <w:sz w:val="28"/>
          <w:szCs w:val="28"/>
        </w:rPr>
        <w:t xml:space="preserve">, e incluyen los derechos humanos laborales: la Declaración Universal de los Derechos Humanos, el Pacto Internacional de Derechos Económicos, Sociales y Culturales, el Protocolo de San Salvador (Adicional a la Convención Americana de Derechos Humanos), la Declaración Socio-Laboral del Mercosur. </w:t>
      </w:r>
    </w:p>
    <w:p w:rsidR="00233E5D" w:rsidRDefault="00233E5D" w:rsidP="00233E5D">
      <w:pPr>
        <w:pStyle w:val="Default"/>
        <w:jc w:val="both"/>
        <w:rPr>
          <w:color w:val="auto"/>
          <w:sz w:val="22"/>
          <w:szCs w:val="22"/>
        </w:rPr>
      </w:pPr>
      <w:r>
        <w:rPr>
          <w:color w:val="auto"/>
          <w:sz w:val="28"/>
          <w:szCs w:val="28"/>
        </w:rPr>
        <w:t xml:space="preserve">También existen tratados internacionales, bilaterales o multilaterales, que no reglamentan el trabajo en lo material, sino que </w:t>
      </w:r>
      <w:r>
        <w:rPr>
          <w:i/>
          <w:iCs/>
          <w:color w:val="auto"/>
          <w:sz w:val="28"/>
          <w:szCs w:val="28"/>
        </w:rPr>
        <w:t xml:space="preserve">distribuyen la </w:t>
      </w:r>
      <w:r>
        <w:rPr>
          <w:color w:val="auto"/>
          <w:sz w:val="22"/>
          <w:szCs w:val="22"/>
        </w:rPr>
        <w:t xml:space="preserve">5 </w:t>
      </w:r>
    </w:p>
    <w:p w:rsidR="00233E5D" w:rsidRDefault="00233E5D" w:rsidP="00233E5D">
      <w:pPr>
        <w:pStyle w:val="Default"/>
        <w:jc w:val="both"/>
        <w:rPr>
          <w:rFonts w:cstheme="minorBidi"/>
          <w:color w:val="auto"/>
        </w:rPr>
      </w:pPr>
    </w:p>
    <w:p w:rsidR="00233E5D" w:rsidRDefault="00233E5D" w:rsidP="00233E5D">
      <w:pPr>
        <w:pStyle w:val="Default"/>
        <w:pageBreakBefore/>
        <w:jc w:val="both"/>
        <w:rPr>
          <w:color w:val="auto"/>
          <w:sz w:val="28"/>
          <w:szCs w:val="28"/>
        </w:rPr>
      </w:pPr>
      <w:proofErr w:type="gramStart"/>
      <w:r>
        <w:rPr>
          <w:i/>
          <w:iCs/>
          <w:color w:val="auto"/>
          <w:sz w:val="28"/>
          <w:szCs w:val="28"/>
        </w:rPr>
        <w:lastRenderedPageBreak/>
        <w:t>competencia</w:t>
      </w:r>
      <w:proofErr w:type="gramEnd"/>
      <w:r>
        <w:rPr>
          <w:i/>
          <w:iCs/>
          <w:color w:val="auto"/>
          <w:sz w:val="28"/>
          <w:szCs w:val="28"/>
        </w:rPr>
        <w:t xml:space="preserve"> entre los Estados para regular las relaciones de trabajo que abarcan más de un Estado </w:t>
      </w:r>
      <w:r>
        <w:rPr>
          <w:color w:val="auto"/>
          <w:sz w:val="28"/>
          <w:szCs w:val="28"/>
        </w:rPr>
        <w:t xml:space="preserve">(por ejemplo, el trabajo de los tripulantes de naves y aeronaves, el trabajo de quienes son enviados temporariamente a otro país, los trabajadores fronterizos, etc.). </w:t>
      </w:r>
    </w:p>
    <w:p w:rsidR="00233E5D" w:rsidRDefault="00233E5D" w:rsidP="00233E5D">
      <w:pPr>
        <w:pStyle w:val="Default"/>
        <w:jc w:val="both"/>
        <w:rPr>
          <w:color w:val="auto"/>
          <w:sz w:val="28"/>
          <w:szCs w:val="28"/>
        </w:rPr>
      </w:pPr>
      <w:r>
        <w:rPr>
          <w:color w:val="auto"/>
          <w:sz w:val="28"/>
          <w:szCs w:val="28"/>
        </w:rPr>
        <w:t xml:space="preserve">Pero las normas internacionales del trabajo por excelencia son los convenios </w:t>
      </w:r>
      <w:r>
        <w:rPr>
          <w:i/>
          <w:iCs/>
          <w:color w:val="auto"/>
          <w:sz w:val="28"/>
          <w:szCs w:val="28"/>
        </w:rPr>
        <w:t>internacionales de trabajo</w:t>
      </w:r>
      <w:r>
        <w:rPr>
          <w:color w:val="auto"/>
          <w:sz w:val="28"/>
          <w:szCs w:val="28"/>
        </w:rPr>
        <w:t xml:space="preserve">. Una vez ratificados por los Estados, y comenzada su vigencia, constituyen normas jurídicas obligatorias, vigentes en el ámbito interno, que regulan, por su gran número, múltiples aspectos del trabajo (jornada máxima, descansos, vacaciones, salario, libertad sindical, negociación colectiva, seguridad laboral, etc.) incluyendo regulaciones diferentes según sectores de actividad (industria, comercio, agricultura, etc.). </w:t>
      </w:r>
    </w:p>
    <w:p w:rsidR="00233E5D" w:rsidRDefault="00233E5D" w:rsidP="00233E5D">
      <w:pPr>
        <w:pStyle w:val="Default"/>
        <w:jc w:val="both"/>
        <w:rPr>
          <w:color w:val="auto"/>
          <w:sz w:val="28"/>
          <w:szCs w:val="28"/>
        </w:rPr>
      </w:pPr>
      <w:r>
        <w:rPr>
          <w:color w:val="auto"/>
          <w:sz w:val="28"/>
          <w:szCs w:val="28"/>
        </w:rPr>
        <w:t xml:space="preserve">III.7. </w:t>
      </w:r>
      <w:r>
        <w:rPr>
          <w:b/>
          <w:bCs/>
          <w:i/>
          <w:iCs/>
          <w:color w:val="auto"/>
          <w:sz w:val="28"/>
          <w:szCs w:val="28"/>
        </w:rPr>
        <w:t>La Ley</w:t>
      </w:r>
      <w:r>
        <w:rPr>
          <w:color w:val="auto"/>
          <w:sz w:val="28"/>
          <w:szCs w:val="28"/>
        </w:rPr>
        <w:t xml:space="preserve">. Como se ha visto, la Constitución contiene mandatos dirigidos a los legisladores, en el sentido de proteger especialmente el trabajo y el trabajador. Por lo tanto, es natural que la ley constituya una fuente importante de reglamentación del trabajo. Pero además, también por mandato del texto constitucional y de las normas internacionales sobre derechos fundamentales que lo integran y complementan, la ley debe reconocer y promover el derecho a la negociación colectiva, reglamentar el ejercicio de la huelga sin perjuicio de su efectividad y promover la solución de los conflictos mediante la conciliación y el arbitraje. A los efectos de promover y facilitar la negociación colectiva, la ley ha reconocido fuerza jurídica al convenio colectivo, y ha regulado sus efectos y sus aspectos esenciales. Asimismo, creó los Consejos de Salarios, como órganos de negociación tripartita y de conciliación y arbitraje de los intereses en conflicto. </w:t>
      </w:r>
    </w:p>
    <w:p w:rsidR="00233E5D" w:rsidRDefault="00233E5D" w:rsidP="00233E5D">
      <w:pPr>
        <w:pStyle w:val="Default"/>
        <w:jc w:val="both"/>
        <w:rPr>
          <w:color w:val="auto"/>
          <w:sz w:val="28"/>
          <w:szCs w:val="28"/>
        </w:rPr>
      </w:pPr>
      <w:r>
        <w:rPr>
          <w:color w:val="auto"/>
          <w:sz w:val="28"/>
          <w:szCs w:val="28"/>
        </w:rPr>
        <w:t xml:space="preserve">La ley cumple pues, una función de reglamentación de los derechos laborales reconocidos por normas de la máxima jerarquía, como también de reconocimiento y soporte de la creación de normas autónomas, por los propios interlocutores sociales. </w:t>
      </w:r>
    </w:p>
    <w:p w:rsidR="00233E5D" w:rsidRDefault="00233E5D" w:rsidP="00233E5D">
      <w:pPr>
        <w:pStyle w:val="Default"/>
        <w:jc w:val="both"/>
        <w:rPr>
          <w:color w:val="auto"/>
          <w:sz w:val="22"/>
          <w:szCs w:val="22"/>
        </w:rPr>
      </w:pPr>
      <w:r>
        <w:rPr>
          <w:color w:val="auto"/>
          <w:sz w:val="28"/>
          <w:szCs w:val="28"/>
        </w:rPr>
        <w:t xml:space="preserve">III.8. </w:t>
      </w:r>
      <w:r>
        <w:rPr>
          <w:b/>
          <w:bCs/>
          <w:i/>
          <w:iCs/>
          <w:color w:val="auto"/>
          <w:sz w:val="28"/>
          <w:szCs w:val="28"/>
        </w:rPr>
        <w:t>Las normas reglamentarias</w:t>
      </w:r>
      <w:r>
        <w:rPr>
          <w:color w:val="auto"/>
          <w:sz w:val="28"/>
          <w:szCs w:val="28"/>
        </w:rPr>
        <w:t xml:space="preserve">. El Poder Ejecutivo tiene, entre sus cometidos, el de dictar los reglamentos necesarios para la ejecución de las leyes (artículo 168 numeral 4º, Constitución). El reglamento es un acto administrativo de alcance general y abstracto; en lo que refiere a su </w:t>
      </w:r>
      <w:r>
        <w:rPr>
          <w:color w:val="auto"/>
          <w:sz w:val="22"/>
          <w:szCs w:val="22"/>
        </w:rPr>
        <w:t xml:space="preserve">6 </w:t>
      </w:r>
    </w:p>
    <w:p w:rsidR="00233E5D" w:rsidRDefault="00233E5D" w:rsidP="00233E5D">
      <w:pPr>
        <w:pStyle w:val="Default"/>
        <w:jc w:val="both"/>
        <w:rPr>
          <w:rFonts w:cstheme="minorBidi"/>
          <w:color w:val="auto"/>
        </w:rPr>
      </w:pPr>
    </w:p>
    <w:p w:rsidR="00233E5D" w:rsidRDefault="00233E5D" w:rsidP="00233E5D">
      <w:pPr>
        <w:pStyle w:val="Default"/>
        <w:pageBreakBefore/>
        <w:jc w:val="both"/>
        <w:rPr>
          <w:rFonts w:cstheme="minorBidi"/>
          <w:color w:val="auto"/>
          <w:sz w:val="28"/>
          <w:szCs w:val="28"/>
        </w:rPr>
      </w:pPr>
      <w:proofErr w:type="gramStart"/>
      <w:r>
        <w:rPr>
          <w:rFonts w:cstheme="minorBidi"/>
          <w:color w:val="auto"/>
          <w:sz w:val="28"/>
          <w:szCs w:val="28"/>
        </w:rPr>
        <w:lastRenderedPageBreak/>
        <w:t>alcance</w:t>
      </w:r>
      <w:proofErr w:type="gramEnd"/>
      <w:r>
        <w:rPr>
          <w:rFonts w:cstheme="minorBidi"/>
          <w:color w:val="auto"/>
          <w:sz w:val="28"/>
          <w:szCs w:val="28"/>
        </w:rPr>
        <w:t xml:space="preserve"> es similar a la ley, pero es inferior en su jerarquía, por lo que debe ajustarse a las disposiciones legales. </w:t>
      </w:r>
    </w:p>
    <w:p w:rsidR="00233E5D" w:rsidRDefault="00233E5D" w:rsidP="00233E5D">
      <w:pPr>
        <w:pStyle w:val="Default"/>
        <w:jc w:val="both"/>
        <w:rPr>
          <w:rFonts w:cstheme="minorBidi"/>
          <w:color w:val="auto"/>
          <w:sz w:val="28"/>
          <w:szCs w:val="28"/>
        </w:rPr>
      </w:pPr>
      <w:r>
        <w:rPr>
          <w:rFonts w:cstheme="minorBidi"/>
          <w:color w:val="auto"/>
          <w:sz w:val="28"/>
          <w:szCs w:val="28"/>
        </w:rPr>
        <w:t xml:space="preserve">En materia laboral, dado que carácter diversificado de las normas, que deben adaptarse a múltiples situaciones y actividades, es frecuente que la ley cometa al Poder Ejecutivo la reglamentación de los aspectos de detalle. </w:t>
      </w:r>
    </w:p>
    <w:p w:rsidR="00233E5D" w:rsidRDefault="00233E5D" w:rsidP="00233E5D">
      <w:pPr>
        <w:pStyle w:val="Default"/>
        <w:jc w:val="both"/>
        <w:rPr>
          <w:rFonts w:cstheme="minorBidi"/>
          <w:color w:val="auto"/>
          <w:sz w:val="28"/>
          <w:szCs w:val="28"/>
        </w:rPr>
      </w:pPr>
      <w:r>
        <w:rPr>
          <w:rFonts w:cstheme="minorBidi"/>
          <w:color w:val="auto"/>
          <w:sz w:val="28"/>
          <w:szCs w:val="28"/>
        </w:rPr>
        <w:t xml:space="preserve">Así, por ejemplo, la Ley Nº 5.032, de 1914, establece la obligación de los empresarios de “tomar las medidas de resguardo y seguridad para el personal de trabajo, a efecto de evitar los accidentes” y seguidamente establece que “estas medidas serán las indicadas por la reglamentación que comete al Poder Ejecutivo, la que deberá ser especial para cada industria o grupo de industrias análogas”. En cumplimiento de esa disposición, el Poder Ejecutivo ha dictado diversos decretos reglamentarios, muy extensos, de aplicación general, en la construcción, en la industria química, en la agricultura, etc. </w:t>
      </w:r>
    </w:p>
    <w:p w:rsidR="00233E5D" w:rsidRDefault="00233E5D" w:rsidP="00233E5D">
      <w:pPr>
        <w:pStyle w:val="Default"/>
        <w:jc w:val="both"/>
        <w:rPr>
          <w:color w:val="auto"/>
          <w:sz w:val="28"/>
          <w:szCs w:val="28"/>
        </w:rPr>
      </w:pPr>
      <w:r>
        <w:rPr>
          <w:rFonts w:cstheme="minorBidi"/>
          <w:color w:val="auto"/>
          <w:sz w:val="28"/>
          <w:szCs w:val="28"/>
        </w:rPr>
        <w:t xml:space="preserve">III.9. </w:t>
      </w:r>
      <w:r>
        <w:rPr>
          <w:b/>
          <w:bCs/>
          <w:i/>
          <w:iCs/>
          <w:color w:val="auto"/>
          <w:sz w:val="28"/>
          <w:szCs w:val="28"/>
        </w:rPr>
        <w:t>El convenio colectivo</w:t>
      </w:r>
      <w:r>
        <w:rPr>
          <w:color w:val="auto"/>
          <w:sz w:val="28"/>
          <w:szCs w:val="28"/>
        </w:rPr>
        <w:t xml:space="preserve">. Es el acuerdo entre una organización de trabajadores y un empleador, un grupo de empleadores o una organización de empleadores, que tiene por objeto regular el salario y las condiciones de trabajo, así como las relaciones entre empleadores y trabajadores (individualmente considerados) o entre las partes que suscriben el acuerdo. </w:t>
      </w:r>
    </w:p>
    <w:p w:rsidR="00233E5D" w:rsidRDefault="00233E5D" w:rsidP="00233E5D">
      <w:pPr>
        <w:pStyle w:val="Default"/>
        <w:jc w:val="both"/>
        <w:rPr>
          <w:color w:val="auto"/>
          <w:sz w:val="28"/>
          <w:szCs w:val="28"/>
        </w:rPr>
      </w:pPr>
      <w:r>
        <w:rPr>
          <w:color w:val="auto"/>
          <w:sz w:val="28"/>
          <w:szCs w:val="28"/>
        </w:rPr>
        <w:t xml:space="preserve">Caracterizan al convenio colectivo la presencia de una organización de trabajadores (en cambio, no es necesaria la participación de una organización de empleadores), y el objeto del acuerdo: la creación de normas que regulan el trabajo o las relaciones laborales. </w:t>
      </w:r>
    </w:p>
    <w:p w:rsidR="00233E5D" w:rsidRDefault="00233E5D" w:rsidP="00233E5D">
      <w:pPr>
        <w:pStyle w:val="Default"/>
        <w:jc w:val="both"/>
        <w:rPr>
          <w:color w:val="auto"/>
          <w:sz w:val="28"/>
          <w:szCs w:val="28"/>
        </w:rPr>
      </w:pPr>
      <w:r>
        <w:rPr>
          <w:color w:val="auto"/>
          <w:sz w:val="28"/>
          <w:szCs w:val="28"/>
        </w:rPr>
        <w:t xml:space="preserve">La autonomía colectiva, o poder normativo de los sujetos de las relaciones colectivas de trabajo, está reconocida por el Convenio Internacional de Trabajo Nº 154 y las leyes 18.508 (para el sector público) y 18.566 (para la actividad privada). </w:t>
      </w:r>
    </w:p>
    <w:p w:rsidR="00233E5D" w:rsidRDefault="00233E5D" w:rsidP="00233E5D">
      <w:pPr>
        <w:pStyle w:val="Default"/>
        <w:jc w:val="both"/>
        <w:rPr>
          <w:color w:val="auto"/>
          <w:sz w:val="22"/>
          <w:szCs w:val="22"/>
        </w:rPr>
      </w:pPr>
      <w:r>
        <w:rPr>
          <w:color w:val="auto"/>
          <w:sz w:val="28"/>
          <w:szCs w:val="28"/>
        </w:rPr>
        <w:t xml:space="preserve">III.10. </w:t>
      </w:r>
      <w:r>
        <w:rPr>
          <w:b/>
          <w:bCs/>
          <w:i/>
          <w:iCs/>
          <w:color w:val="auto"/>
          <w:sz w:val="28"/>
          <w:szCs w:val="28"/>
        </w:rPr>
        <w:t>Los laudos de los Consejos de Salarios</w:t>
      </w:r>
      <w:r>
        <w:rPr>
          <w:color w:val="auto"/>
          <w:sz w:val="28"/>
          <w:szCs w:val="28"/>
        </w:rPr>
        <w:t xml:space="preserve">. La ley Nº 10.449 de 1943 creó los Consejos de Salarios por sector de actividad. Se trata de órganos tripartitos, integrados por representantes del gobierno, los empleadores y los trabajadores de cada sector de actividad, cuyo cometido principal es la </w:t>
      </w:r>
      <w:r>
        <w:rPr>
          <w:color w:val="auto"/>
          <w:sz w:val="22"/>
          <w:szCs w:val="22"/>
        </w:rPr>
        <w:t xml:space="preserve">7 </w:t>
      </w:r>
    </w:p>
    <w:p w:rsidR="00233E5D" w:rsidRDefault="00233E5D" w:rsidP="00233E5D">
      <w:pPr>
        <w:pStyle w:val="Default"/>
        <w:jc w:val="both"/>
        <w:rPr>
          <w:rFonts w:cstheme="minorBidi"/>
          <w:color w:val="auto"/>
        </w:rPr>
      </w:pPr>
    </w:p>
    <w:p w:rsidR="00233E5D" w:rsidRDefault="00233E5D" w:rsidP="00233E5D">
      <w:pPr>
        <w:pStyle w:val="Default"/>
        <w:pageBreakBefore/>
        <w:jc w:val="both"/>
        <w:rPr>
          <w:rFonts w:cstheme="minorBidi"/>
          <w:color w:val="auto"/>
          <w:sz w:val="28"/>
          <w:szCs w:val="28"/>
        </w:rPr>
      </w:pPr>
      <w:proofErr w:type="gramStart"/>
      <w:r>
        <w:rPr>
          <w:rFonts w:cstheme="minorBidi"/>
          <w:color w:val="auto"/>
          <w:sz w:val="28"/>
          <w:szCs w:val="28"/>
        </w:rPr>
        <w:lastRenderedPageBreak/>
        <w:t>fijación</w:t>
      </w:r>
      <w:proofErr w:type="gramEnd"/>
      <w:r>
        <w:rPr>
          <w:rFonts w:cstheme="minorBidi"/>
          <w:color w:val="auto"/>
          <w:sz w:val="28"/>
          <w:szCs w:val="28"/>
        </w:rPr>
        <w:t xml:space="preserve"> de salarios mínimos y la descripción de categorías laborales, actualizar las remuneraciones, reglamentar la licencia sindical, y establecer condiciones de trabajo en general (en este último caso se requiere el voto conforme de los representantes de los trabajadores y empleadores). </w:t>
      </w:r>
    </w:p>
    <w:p w:rsidR="00233E5D" w:rsidRDefault="00233E5D" w:rsidP="00233E5D">
      <w:pPr>
        <w:pStyle w:val="Default"/>
        <w:jc w:val="both"/>
        <w:rPr>
          <w:rFonts w:cstheme="minorBidi"/>
          <w:color w:val="auto"/>
          <w:sz w:val="28"/>
          <w:szCs w:val="28"/>
        </w:rPr>
      </w:pPr>
      <w:r>
        <w:rPr>
          <w:rFonts w:cstheme="minorBidi"/>
          <w:color w:val="auto"/>
          <w:sz w:val="28"/>
          <w:szCs w:val="28"/>
        </w:rPr>
        <w:t xml:space="preserve">Los acuerdos (por unanimidad o mayoría) de los Consejos de Salarios constituyen normas jurídicas obligatorias para todos los empleadores y trabajadores del sector de actividad respectivo. </w:t>
      </w:r>
    </w:p>
    <w:p w:rsidR="00233E5D" w:rsidRDefault="00233E5D" w:rsidP="00233E5D">
      <w:pPr>
        <w:pStyle w:val="Default"/>
        <w:jc w:val="both"/>
        <w:rPr>
          <w:color w:val="auto"/>
          <w:sz w:val="28"/>
          <w:szCs w:val="28"/>
        </w:rPr>
      </w:pPr>
      <w:r>
        <w:rPr>
          <w:b/>
          <w:bCs/>
          <w:color w:val="auto"/>
          <w:sz w:val="28"/>
          <w:szCs w:val="28"/>
        </w:rPr>
        <w:t xml:space="preserve">Fuentes no formales </w:t>
      </w:r>
    </w:p>
    <w:p w:rsidR="00233E5D" w:rsidRDefault="00233E5D" w:rsidP="00233E5D">
      <w:pPr>
        <w:pStyle w:val="Default"/>
        <w:jc w:val="both"/>
        <w:rPr>
          <w:color w:val="auto"/>
          <w:sz w:val="28"/>
          <w:szCs w:val="28"/>
        </w:rPr>
      </w:pPr>
      <w:r>
        <w:rPr>
          <w:color w:val="auto"/>
          <w:sz w:val="28"/>
          <w:szCs w:val="28"/>
        </w:rPr>
        <w:t xml:space="preserve">III.11. </w:t>
      </w:r>
      <w:r>
        <w:rPr>
          <w:b/>
          <w:bCs/>
          <w:i/>
          <w:iCs/>
          <w:color w:val="auto"/>
          <w:sz w:val="28"/>
          <w:szCs w:val="28"/>
        </w:rPr>
        <w:t>La costumbre y los usos empresariales o profesionales</w:t>
      </w:r>
      <w:r>
        <w:rPr>
          <w:color w:val="auto"/>
          <w:sz w:val="28"/>
          <w:szCs w:val="28"/>
        </w:rPr>
        <w:t xml:space="preserve">. El contrato de trabajo suele no otorgarse por escrito, y aún cuando así se otorga, existen muchos aspectos que no están consignados por escrito, pero las partes consideran implícitos, porque responden a los usos y costumbres en un sector de actividad, en un oficio o profesión, o en una empresa. En tal sentido, el artículo 1291 del Código Civil establece que las obligaciones de las partes se extienden a todas las que, de acuerdo con la naturaleza del contrato “sean conformes a la equidad, al uso o a la ley”. </w:t>
      </w:r>
    </w:p>
    <w:p w:rsidR="00233E5D" w:rsidRDefault="00233E5D" w:rsidP="00233E5D">
      <w:pPr>
        <w:pStyle w:val="Default"/>
        <w:jc w:val="both"/>
        <w:rPr>
          <w:color w:val="auto"/>
          <w:sz w:val="28"/>
          <w:szCs w:val="28"/>
        </w:rPr>
      </w:pPr>
      <w:r>
        <w:rPr>
          <w:color w:val="auto"/>
          <w:sz w:val="28"/>
          <w:szCs w:val="28"/>
        </w:rPr>
        <w:t xml:space="preserve">No estamos ante una fuente formal de derecho, porque la costumbre y el uso, en nuestro sistema, no crean normas jurídicas por sí mismos. </w:t>
      </w:r>
    </w:p>
    <w:p w:rsidR="00233E5D" w:rsidRDefault="00233E5D" w:rsidP="00233E5D">
      <w:pPr>
        <w:pStyle w:val="Default"/>
        <w:jc w:val="both"/>
        <w:rPr>
          <w:color w:val="auto"/>
          <w:sz w:val="28"/>
          <w:szCs w:val="28"/>
        </w:rPr>
      </w:pPr>
      <w:r>
        <w:rPr>
          <w:color w:val="auto"/>
          <w:sz w:val="28"/>
          <w:szCs w:val="28"/>
        </w:rPr>
        <w:t xml:space="preserve">Aunque en teoría es posible distinguir el uso y la costumbre (esta última requiere la convicción de obligatoriedad, el uso atiende solo a la práctica sin requerir ese elemento psicológico), en cuanto la disposición citada del Código Civil se refiere al uso, las consecuencias jurídicas son las mismas para el uso como para la costumbre. </w:t>
      </w:r>
    </w:p>
    <w:p w:rsidR="00233E5D" w:rsidRDefault="00233E5D" w:rsidP="00233E5D">
      <w:pPr>
        <w:pStyle w:val="Default"/>
        <w:jc w:val="both"/>
        <w:rPr>
          <w:color w:val="auto"/>
          <w:sz w:val="28"/>
          <w:szCs w:val="28"/>
        </w:rPr>
      </w:pPr>
      <w:r>
        <w:rPr>
          <w:color w:val="auto"/>
          <w:sz w:val="28"/>
          <w:szCs w:val="28"/>
        </w:rPr>
        <w:t xml:space="preserve">El caso más frecuente de aplicación de normas originadas en el uso o la costumbre es el de las partidas salariales. Una vez otorgada por el empleador, en forma voluntaria, una partida salarial periódica, el transcurso del tiempo la vuelve obligatoria. </w:t>
      </w:r>
    </w:p>
    <w:p w:rsidR="00233E5D" w:rsidRDefault="00233E5D" w:rsidP="00233E5D">
      <w:pPr>
        <w:pStyle w:val="Default"/>
        <w:jc w:val="both"/>
        <w:rPr>
          <w:color w:val="auto"/>
          <w:sz w:val="22"/>
          <w:szCs w:val="22"/>
        </w:rPr>
      </w:pPr>
      <w:r>
        <w:rPr>
          <w:color w:val="auto"/>
          <w:sz w:val="28"/>
          <w:szCs w:val="28"/>
        </w:rPr>
        <w:t xml:space="preserve">III.12. </w:t>
      </w:r>
      <w:r>
        <w:rPr>
          <w:b/>
          <w:bCs/>
          <w:i/>
          <w:iCs/>
          <w:color w:val="auto"/>
          <w:sz w:val="28"/>
          <w:szCs w:val="28"/>
        </w:rPr>
        <w:t xml:space="preserve">La jurisprudencia y la doctrina. </w:t>
      </w:r>
      <w:r>
        <w:rPr>
          <w:color w:val="auto"/>
          <w:sz w:val="28"/>
          <w:szCs w:val="28"/>
        </w:rPr>
        <w:t xml:space="preserve">El propio carácter diversificado y dinámico del Derecho del Trabajo, hace que muchas veces los problemas jurídicos del trabajo no tengan una solución sencilla. Se plantean así las llamadas “lagunas del Derecho”, situaciones que no tienen una solución clara, porque no fueron previstas en el momento en que las normas se </w:t>
      </w:r>
      <w:r>
        <w:rPr>
          <w:color w:val="auto"/>
          <w:sz w:val="22"/>
          <w:szCs w:val="22"/>
        </w:rPr>
        <w:t xml:space="preserve">8 </w:t>
      </w:r>
    </w:p>
    <w:p w:rsidR="00233E5D" w:rsidRDefault="00233E5D" w:rsidP="00233E5D">
      <w:pPr>
        <w:pStyle w:val="Default"/>
        <w:jc w:val="both"/>
        <w:rPr>
          <w:rFonts w:cstheme="minorBidi"/>
          <w:color w:val="auto"/>
        </w:rPr>
      </w:pPr>
    </w:p>
    <w:p w:rsidR="00233E5D" w:rsidRDefault="00233E5D" w:rsidP="00233E5D">
      <w:pPr>
        <w:pStyle w:val="Default"/>
        <w:pageBreakBefore/>
        <w:jc w:val="both"/>
        <w:rPr>
          <w:rFonts w:cstheme="minorBidi"/>
          <w:color w:val="auto"/>
          <w:sz w:val="28"/>
          <w:szCs w:val="28"/>
        </w:rPr>
      </w:pPr>
      <w:proofErr w:type="gramStart"/>
      <w:r>
        <w:rPr>
          <w:rFonts w:cstheme="minorBidi"/>
          <w:color w:val="auto"/>
          <w:sz w:val="28"/>
          <w:szCs w:val="28"/>
        </w:rPr>
        <w:lastRenderedPageBreak/>
        <w:t>aprobaron</w:t>
      </w:r>
      <w:proofErr w:type="gramEnd"/>
      <w:r>
        <w:rPr>
          <w:rFonts w:cstheme="minorBidi"/>
          <w:color w:val="auto"/>
          <w:sz w:val="28"/>
          <w:szCs w:val="28"/>
        </w:rPr>
        <w:t xml:space="preserve">. Los jueces, que deben resolver los casos concretos, aún ante la insuficiencia de las normas, deben crear la solución del caso concreto, recurriendo a la analogía y los principios generales. Cuando se consolida una corriente entre los jueces, podemos hablar de una “jurisprudencia” que ha resuelto el problema en cuestión en tal sentido. Del mismo modo, la doctrina o labor de los juristas, puede ir planteando soluciones de consenso a esos problemas no resueltos. Aunque esa jurisprudencia y esa doctrina no son estrictamente obligatorias, el artículo 332 de la Constitución prevé que, a falta de reglamentación de los derechos, ésta será suplida “recurriendo a los fundamentos de leyes análogas, a los principios generales de derecho y a las doctrinas generalmente admitidas”. En sentido coincidente, el Código Civil, luego de establecer que los jueces no pueden dejar de fallar en caso de “silencio, oscuridad o insuficiencia de las leyes” (artículo 15), prevé que en ese caso “se acudirá a los fundamentos de las leyes análogas; y si todavía subsistiere la duda, se ocurrirá a los principios generales de derecho y a las doctrinas más recibidas, consideradas las circunstancias del caso” (artículo 16). Las tendencias jurisprudenciales y doctrinarias, aunque no constituyen fuente en sentido formal, conforman la “doctrina más recibida” o “generalmente admitida” a la que frecuentemente recurren los operadores jurídicos. </w:t>
      </w:r>
    </w:p>
    <w:p w:rsidR="00233E5D" w:rsidRDefault="00233E5D" w:rsidP="00233E5D">
      <w:pPr>
        <w:pStyle w:val="Default"/>
        <w:jc w:val="both"/>
        <w:rPr>
          <w:color w:val="auto"/>
          <w:sz w:val="28"/>
          <w:szCs w:val="28"/>
        </w:rPr>
      </w:pPr>
      <w:r>
        <w:rPr>
          <w:b/>
          <w:bCs/>
          <w:color w:val="auto"/>
          <w:sz w:val="28"/>
          <w:szCs w:val="28"/>
        </w:rPr>
        <w:t xml:space="preserve">¿Otras posibles fuentes? </w:t>
      </w:r>
    </w:p>
    <w:p w:rsidR="00233E5D" w:rsidRDefault="00233E5D" w:rsidP="00233E5D">
      <w:pPr>
        <w:pStyle w:val="Default"/>
        <w:jc w:val="both"/>
        <w:rPr>
          <w:color w:val="auto"/>
          <w:sz w:val="28"/>
          <w:szCs w:val="28"/>
        </w:rPr>
      </w:pPr>
      <w:r>
        <w:rPr>
          <w:color w:val="auto"/>
          <w:sz w:val="28"/>
          <w:szCs w:val="28"/>
        </w:rPr>
        <w:t xml:space="preserve">III.13. </w:t>
      </w:r>
      <w:r>
        <w:rPr>
          <w:b/>
          <w:bCs/>
          <w:i/>
          <w:iCs/>
          <w:color w:val="auto"/>
          <w:sz w:val="28"/>
          <w:szCs w:val="28"/>
        </w:rPr>
        <w:t>El reglamento interno</w:t>
      </w:r>
      <w:r>
        <w:rPr>
          <w:color w:val="auto"/>
          <w:sz w:val="28"/>
          <w:szCs w:val="28"/>
        </w:rPr>
        <w:t xml:space="preserve">. Es común que en la enumeración de las fuentes del Derecho del Trabajo se incluya al reglamento interno o reglamento de taller, conjunto ordenado de disposiciones que rigen el trabajo en una empresa o establecimiento determinado. Generalmente es aprobado unilateralmente por el empleador en ejercicio de su poder de dirección, pero podría haber sido negociado colectivamente. Establecen las obligaciones laborales básicas, las sanciones en caso de incumplimiento, etc. </w:t>
      </w:r>
    </w:p>
    <w:p w:rsidR="00233E5D" w:rsidRDefault="00233E5D" w:rsidP="00233E5D">
      <w:pPr>
        <w:pStyle w:val="Default"/>
        <w:jc w:val="both"/>
        <w:rPr>
          <w:color w:val="auto"/>
          <w:sz w:val="22"/>
          <w:szCs w:val="22"/>
        </w:rPr>
      </w:pPr>
      <w:r>
        <w:rPr>
          <w:color w:val="auto"/>
          <w:sz w:val="28"/>
          <w:szCs w:val="28"/>
        </w:rPr>
        <w:t xml:space="preserve">No estamos, en sentido estricto, frente a una fuente del Derecho, porque el empleador carece de poder normativo. En todo caso, en nuestra opinión, el reglamento interno supone una autolimitación de las facultades del empleador, y por lo tanto, el trabajador puede ampararse a </w:t>
      </w:r>
      <w:r>
        <w:rPr>
          <w:color w:val="auto"/>
          <w:sz w:val="22"/>
          <w:szCs w:val="22"/>
        </w:rPr>
        <w:t xml:space="preserve">9 </w:t>
      </w:r>
    </w:p>
    <w:p w:rsidR="00233E5D" w:rsidRDefault="00233E5D" w:rsidP="00233E5D">
      <w:pPr>
        <w:pStyle w:val="Default"/>
        <w:jc w:val="both"/>
        <w:rPr>
          <w:rFonts w:cstheme="minorBidi"/>
          <w:color w:val="auto"/>
        </w:rPr>
      </w:pPr>
    </w:p>
    <w:p w:rsidR="00233E5D" w:rsidRDefault="00233E5D" w:rsidP="00233E5D">
      <w:pPr>
        <w:pStyle w:val="Default"/>
        <w:pageBreakBefore/>
        <w:jc w:val="both"/>
        <w:rPr>
          <w:rFonts w:cstheme="minorBidi"/>
          <w:color w:val="auto"/>
          <w:sz w:val="28"/>
          <w:szCs w:val="28"/>
        </w:rPr>
      </w:pPr>
      <w:proofErr w:type="gramStart"/>
      <w:r>
        <w:rPr>
          <w:rFonts w:cstheme="minorBidi"/>
          <w:color w:val="auto"/>
          <w:sz w:val="28"/>
          <w:szCs w:val="28"/>
        </w:rPr>
        <w:lastRenderedPageBreak/>
        <w:t>sus</w:t>
      </w:r>
      <w:proofErr w:type="gramEnd"/>
      <w:r>
        <w:rPr>
          <w:rFonts w:cstheme="minorBidi"/>
          <w:color w:val="auto"/>
          <w:sz w:val="28"/>
          <w:szCs w:val="28"/>
        </w:rPr>
        <w:t xml:space="preserve"> disposiciones, por ejemplo, en ocasión del ejercicio del poder disciplinario. </w:t>
      </w:r>
    </w:p>
    <w:p w:rsidR="00233E5D" w:rsidRDefault="00233E5D" w:rsidP="00233E5D">
      <w:pPr>
        <w:pStyle w:val="Default"/>
        <w:jc w:val="both"/>
        <w:rPr>
          <w:color w:val="auto"/>
          <w:sz w:val="28"/>
          <w:szCs w:val="28"/>
        </w:rPr>
      </w:pPr>
      <w:r>
        <w:rPr>
          <w:b/>
          <w:bCs/>
          <w:color w:val="auto"/>
          <w:sz w:val="28"/>
          <w:szCs w:val="28"/>
        </w:rPr>
        <w:t xml:space="preserve">Bibliografía básica </w:t>
      </w:r>
    </w:p>
    <w:p w:rsidR="00233E5D" w:rsidRDefault="00233E5D" w:rsidP="00233E5D">
      <w:pPr>
        <w:pStyle w:val="Default"/>
        <w:jc w:val="both"/>
        <w:rPr>
          <w:color w:val="auto"/>
          <w:sz w:val="28"/>
          <w:szCs w:val="28"/>
        </w:rPr>
      </w:pPr>
      <w:r>
        <w:rPr>
          <w:color w:val="auto"/>
          <w:sz w:val="28"/>
          <w:szCs w:val="28"/>
        </w:rPr>
        <w:t xml:space="preserve">Barbagelata, Héctor-Hugo, </w:t>
      </w:r>
      <w:r>
        <w:rPr>
          <w:i/>
          <w:iCs/>
          <w:color w:val="auto"/>
          <w:sz w:val="28"/>
          <w:szCs w:val="28"/>
        </w:rPr>
        <w:t>Derecho del Trabajo</w:t>
      </w:r>
      <w:r>
        <w:rPr>
          <w:color w:val="auto"/>
          <w:sz w:val="28"/>
          <w:szCs w:val="28"/>
        </w:rPr>
        <w:t xml:space="preserve">, Tomo I, Vol. I., 2ª </w:t>
      </w:r>
      <w:proofErr w:type="spellStart"/>
      <w:r>
        <w:rPr>
          <w:color w:val="auto"/>
          <w:sz w:val="28"/>
          <w:szCs w:val="28"/>
        </w:rPr>
        <w:t>edic</w:t>
      </w:r>
      <w:proofErr w:type="spellEnd"/>
      <w:r>
        <w:rPr>
          <w:color w:val="auto"/>
          <w:sz w:val="28"/>
          <w:szCs w:val="28"/>
        </w:rPr>
        <w:t xml:space="preserve">., FCU, 1995, pp. 119-153. </w:t>
      </w:r>
    </w:p>
    <w:p w:rsidR="00233E5D" w:rsidRDefault="00233E5D" w:rsidP="00233E5D">
      <w:pPr>
        <w:pStyle w:val="Default"/>
        <w:jc w:val="both"/>
        <w:rPr>
          <w:color w:val="auto"/>
          <w:sz w:val="28"/>
          <w:szCs w:val="28"/>
        </w:rPr>
      </w:pPr>
      <w:r>
        <w:rPr>
          <w:color w:val="auto"/>
          <w:sz w:val="28"/>
          <w:szCs w:val="28"/>
        </w:rPr>
        <w:t xml:space="preserve">Plá Rodríguez, Américo, </w:t>
      </w:r>
      <w:r>
        <w:rPr>
          <w:i/>
          <w:iCs/>
          <w:color w:val="auto"/>
          <w:sz w:val="28"/>
          <w:szCs w:val="28"/>
        </w:rPr>
        <w:t>Curso de Derecho Laboral</w:t>
      </w:r>
      <w:r>
        <w:rPr>
          <w:color w:val="auto"/>
          <w:sz w:val="28"/>
          <w:szCs w:val="28"/>
        </w:rPr>
        <w:t xml:space="preserve">, Tomo I, Vol. I, Cap. VII. </w:t>
      </w:r>
    </w:p>
    <w:p w:rsidR="00233E5D" w:rsidRDefault="00233E5D" w:rsidP="00233E5D">
      <w:pPr>
        <w:pStyle w:val="Default"/>
        <w:jc w:val="both"/>
        <w:rPr>
          <w:color w:val="auto"/>
          <w:sz w:val="28"/>
          <w:szCs w:val="28"/>
        </w:rPr>
      </w:pPr>
      <w:r>
        <w:rPr>
          <w:color w:val="auto"/>
          <w:sz w:val="28"/>
          <w:szCs w:val="28"/>
        </w:rPr>
        <w:t>Raso Delgue, Juan (</w:t>
      </w:r>
      <w:proofErr w:type="spellStart"/>
      <w:r>
        <w:rPr>
          <w:color w:val="auto"/>
          <w:sz w:val="28"/>
          <w:szCs w:val="28"/>
        </w:rPr>
        <w:t>dir.</w:t>
      </w:r>
      <w:proofErr w:type="spellEnd"/>
      <w:r>
        <w:rPr>
          <w:color w:val="auto"/>
          <w:sz w:val="28"/>
          <w:szCs w:val="28"/>
        </w:rPr>
        <w:t xml:space="preserve">) – Castello, Alejandro (coord.), </w:t>
      </w:r>
      <w:r>
        <w:rPr>
          <w:i/>
          <w:iCs/>
          <w:color w:val="auto"/>
          <w:sz w:val="28"/>
          <w:szCs w:val="28"/>
        </w:rPr>
        <w:t>Derecho del Trabajo</w:t>
      </w:r>
      <w:r>
        <w:rPr>
          <w:color w:val="auto"/>
          <w:sz w:val="28"/>
          <w:szCs w:val="28"/>
        </w:rPr>
        <w:t xml:space="preserve">, Tomo I, FCU, 2012, Cap. V. </w:t>
      </w:r>
    </w:p>
    <w:p w:rsidR="00233E5D" w:rsidRDefault="00233E5D" w:rsidP="00233E5D">
      <w:pPr>
        <w:pStyle w:val="Default"/>
        <w:jc w:val="both"/>
        <w:rPr>
          <w:color w:val="auto"/>
          <w:sz w:val="28"/>
          <w:szCs w:val="28"/>
        </w:rPr>
      </w:pPr>
      <w:r>
        <w:rPr>
          <w:b/>
          <w:bCs/>
          <w:color w:val="auto"/>
          <w:sz w:val="28"/>
          <w:szCs w:val="28"/>
        </w:rPr>
        <w:t xml:space="preserve">Bibliografía complementaria </w:t>
      </w:r>
    </w:p>
    <w:p w:rsidR="00072A1F" w:rsidRDefault="00233E5D" w:rsidP="00233E5D">
      <w:pPr>
        <w:jc w:val="both"/>
      </w:pPr>
      <w:r>
        <w:rPr>
          <w:sz w:val="28"/>
          <w:szCs w:val="28"/>
        </w:rPr>
        <w:t xml:space="preserve">Grupo de los Miércoles, </w:t>
      </w:r>
      <w:r>
        <w:rPr>
          <w:i/>
          <w:iCs/>
          <w:sz w:val="28"/>
          <w:szCs w:val="28"/>
        </w:rPr>
        <w:t>Treinta y seis estudios sobre las fuentes del Derecho del Trabajo</w:t>
      </w:r>
      <w:r>
        <w:rPr>
          <w:sz w:val="28"/>
          <w:szCs w:val="28"/>
        </w:rPr>
        <w:t>, FCU, 1995.</w:t>
      </w:r>
    </w:p>
    <w:sectPr w:rsidR="00072A1F" w:rsidSect="00072A1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33E5D"/>
    <w:rsid w:val="00072A1F"/>
    <w:rsid w:val="00233E5D"/>
    <w:rsid w:val="00D5712E"/>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A1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233E5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2714</Words>
  <Characters>14929</Characters>
  <Application>Microsoft Office Word</Application>
  <DocSecurity>0</DocSecurity>
  <Lines>124</Lines>
  <Paragraphs>35</Paragraphs>
  <ScaleCrop>false</ScaleCrop>
  <Company/>
  <LinksUpToDate>false</LinksUpToDate>
  <CharactersWithSpaces>17608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Rosina</dc:creator>
  <cp:keywords/>
  <dc:description/>
  <cp:lastModifiedBy>Rosina</cp:lastModifiedBy>
  <cp:revision>2</cp:revision>
  <dcterms:created xsi:type="dcterms:W3CDTF">2015-03-10T16:26:00Z</dcterms:created>
  <dcterms:modified xsi:type="dcterms:W3CDTF">2015-03-10T16:27:00Z</dcterms:modified>
</cp:coreProperties>
</file>