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jc w:val="center"/>
        <w:ind w:hanging="0" w:left="360" w:right="0"/>
      </w:pPr>
      <w:r>
        <w:rPr>
          <w:sz w:val="24"/>
          <w:b/>
          <w:szCs w:val="24"/>
          <w:rFonts w:cs="Calibri"/>
        </w:rPr>
        <w:t>DERECHO DEL TRABAJO Y DE LA SEGURIDAD SOCIAL II</w:t>
      </w:r>
    </w:p>
    <w:p>
      <w:pPr>
        <w:pStyle w:val="style21"/>
        <w:jc w:val="center"/>
        <w:ind w:hanging="0" w:left="360" w:right="0"/>
      </w:pPr>
      <w:r>
        <w:rPr>
          <w:sz w:val="24"/>
          <w:b/>
          <w:szCs w:val="24"/>
          <w:rFonts w:cs="Calibri"/>
        </w:rPr>
      </w:r>
    </w:p>
    <w:p>
      <w:pPr>
        <w:pStyle w:val="style21"/>
        <w:jc w:val="center"/>
        <w:ind w:hanging="0" w:left="360" w:right="0"/>
      </w:pPr>
      <w:r>
        <w:rPr>
          <w:sz w:val="24"/>
          <w:b/>
          <w:szCs w:val="24"/>
          <w:rFonts w:cs="Calibri"/>
        </w:rPr>
      </w:r>
    </w:p>
    <w:p>
      <w:pPr>
        <w:pStyle w:val="style21"/>
        <w:jc w:val="center"/>
        <w:ind w:hanging="0" w:left="360" w:right="0"/>
      </w:pPr>
      <w:r>
        <w:rPr>
          <w:sz w:val="24"/>
          <w:b/>
          <w:szCs w:val="24"/>
          <w:rFonts w:cs="Calibri"/>
        </w:rPr>
        <w:t>PROGRAMA Y BIBLIOGRAFÍA</w:t>
      </w:r>
    </w:p>
    <w:p>
      <w:pPr>
        <w:pStyle w:val="style21"/>
        <w:jc w:val="center"/>
        <w:ind w:hanging="0" w:left="360" w:right="0"/>
      </w:pPr>
      <w:r>
        <w:rPr>
          <w:sz w:val="24"/>
          <w:b/>
          <w:szCs w:val="24"/>
          <w:rFonts w:cs="Calibri"/>
        </w:rPr>
        <w:t xml:space="preserve">CURSO LIBRE-CONTROLADO 2014. </w:t>
      </w:r>
    </w:p>
    <w:p>
      <w:pPr>
        <w:pStyle w:val="style0"/>
      </w:pPr>
      <w:r>
        <w:rPr>
          <w:sz w:val="24"/>
          <w:b/>
          <w:szCs w:val="24"/>
        </w:rPr>
        <w:t xml:space="preserve">METODOLOGÍA DEL CURSO.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  <w:t xml:space="preserve">+ Apoyo, información y comunicación a través de Plataforma EVA. </w:t>
      </w:r>
    </w:p>
    <w:p>
      <w:pPr>
        <w:pStyle w:val="style0"/>
      </w:pPr>
      <w:r>
        <w:rPr>
          <w:sz w:val="24"/>
          <w:u w:val="single"/>
          <w:b/>
          <w:szCs w:val="24"/>
        </w:rPr>
        <w:t xml:space="preserve">+ Clase: </w:t>
      </w:r>
    </w:p>
    <w:p>
      <w:pPr>
        <w:pStyle w:val="style0"/>
      </w:pPr>
      <w:r>
        <w:rPr>
          <w:sz w:val="24"/>
          <w:szCs w:val="24"/>
        </w:rPr>
        <w:tab/>
        <w:t xml:space="preserve">++ por decisión de la mayoría del grupo, la clase se extenderá de 20.00 a 21.45, sin corte intermedio. </w:t>
      </w:r>
    </w:p>
    <w:p>
      <w:pPr>
        <w:pStyle w:val="style0"/>
      </w:pPr>
      <w:r>
        <w:rPr>
          <w:sz w:val="24"/>
          <w:szCs w:val="24"/>
        </w:rPr>
        <w:tab/>
        <w:t xml:space="preserve">++ se solicita no incorporarse a la clase, salvo motivo especial,  después de la hora 20.15. </w:t>
      </w:r>
    </w:p>
    <w:p>
      <w:pPr>
        <w:pStyle w:val="style0"/>
      </w:pPr>
      <w:r>
        <w:rPr>
          <w:sz w:val="24"/>
          <w:u w:val="single"/>
          <w:b/>
          <w:szCs w:val="24"/>
        </w:rPr>
        <w:t xml:space="preserve">+ Parciales: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Fechas de parciales anunciadas el primer día de clase, sin posibilidad de modificación.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Realización de un total de tres parciales.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Dos de ellos, cualquiera, obligatorios.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El derecho a dar el examen con el equipo docente se gana obteniendo un mínimo de calificación 3 en cada uno de los dos parciales obligatorios.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En caso de que el  estudiante  opte por la realización de los tres parciales,  el promedio se realiza con los dos mejores calificados.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En los parciales el estudiante puede manejar todo el derecho positivo. No puede manejar ni apuntes, ni textos doctrinarios, ni esquemas.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En la corrección se priorizará la fundamentación de la respuesta. </w:t>
      </w:r>
    </w:p>
    <w:p>
      <w:pPr>
        <w:pStyle w:val="style0"/>
      </w:pPr>
      <w:r>
        <w:rPr>
          <w:sz w:val="24"/>
          <w:szCs w:val="24"/>
        </w:rPr>
        <w:t xml:space="preserve">+ Exoneración del curso, conforme el reglamento. </w:t>
      </w:r>
    </w:p>
    <w:p>
      <w:pPr>
        <w:pStyle w:val="style0"/>
      </w:pPr>
      <w:r>
        <w:rPr>
          <w:sz w:val="24"/>
          <w:u w:val="single"/>
          <w:b/>
          <w:szCs w:val="24"/>
        </w:rPr>
        <w:t xml:space="preserve">+ Examen.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En el examen  el estudiante puede manejar todo el derecho positivo. No puede manejar ni apuntes, ni textos doctrinarios, ni esquemas. </w:t>
      </w:r>
    </w:p>
    <w:p>
      <w:pPr>
        <w:pStyle w:val="style0"/>
        <w:ind w:firstLine="708" w:left="0" w:right="0"/>
      </w:pPr>
      <w:r>
        <w:rPr>
          <w:sz w:val="24"/>
          <w:szCs w:val="24"/>
        </w:rPr>
        <w:t xml:space="preserve">++ En la corrección se priorizará la fundamentación de la respuesta. </w:t>
      </w:r>
    </w:p>
    <w:p>
      <w:pPr>
        <w:pStyle w:val="style0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szCs w:val="24"/>
        </w:rPr>
        <w:t xml:space="preserve"> </w:t>
      </w:r>
    </w:p>
    <w:p>
      <w:pPr>
        <w:pStyle w:val="style0"/>
      </w:pPr>
      <w:r>
        <w:rPr>
          <w:sz w:val="24"/>
          <w:u w:val="single"/>
          <w:b/>
          <w:szCs w:val="24"/>
        </w:rPr>
        <w:t xml:space="preserve">+ Actividad externa paralela. </w:t>
      </w:r>
    </w:p>
    <w:p>
      <w:pPr>
        <w:pStyle w:val="style0"/>
      </w:pPr>
      <w:r>
        <w:rPr>
          <w:sz w:val="24"/>
          <w:szCs w:val="24"/>
        </w:rPr>
        <w:tab/>
        <w:t xml:space="preserve">++ es opcional. </w:t>
      </w:r>
    </w:p>
    <w:p>
      <w:pPr>
        <w:pStyle w:val="style0"/>
      </w:pPr>
      <w:r>
        <w:rPr>
          <w:sz w:val="24"/>
          <w:szCs w:val="24"/>
        </w:rPr>
        <w:tab/>
        <w:t xml:space="preserve">++ consistirá en el estudio de casos cuyos litigios se encuentran tramitándose en los estrados judiciales en material laboral en la ciudad de Montevideo. </w:t>
      </w:r>
    </w:p>
    <w:p>
      <w:pPr>
        <w:pStyle w:val="style0"/>
      </w:pPr>
      <w:r>
        <w:rPr>
          <w:sz w:val="24"/>
          <w:szCs w:val="24"/>
        </w:rPr>
        <w:tab/>
        <w:t xml:space="preserve">++  cada grupo tendrá el apoyo de un docente-tutor. </w:t>
      </w:r>
    </w:p>
    <w:p>
      <w:pPr>
        <w:pStyle w:val="style0"/>
      </w:pPr>
      <w:r>
        <w:rPr>
          <w:sz w:val="24"/>
          <w:szCs w:val="24"/>
        </w:rPr>
        <w:tab/>
        <w:t xml:space="preserve">++ la actividad incluye: </w:t>
      </w:r>
    </w:p>
    <w:p>
      <w:pPr>
        <w:pStyle w:val="style0"/>
      </w:pPr>
      <w:r>
        <w:rPr>
          <w:sz w:val="24"/>
          <w:szCs w:val="24"/>
        </w:rPr>
        <w:tab/>
        <w:tab/>
        <w:tab/>
        <w:t xml:space="preserve">+++ estudio del expediente en el juzgado. </w:t>
      </w:r>
    </w:p>
    <w:p>
      <w:pPr>
        <w:pStyle w:val="style0"/>
      </w:pPr>
      <w:r>
        <w:rPr>
          <w:sz w:val="24"/>
          <w:szCs w:val="24"/>
        </w:rPr>
        <w:tab/>
        <w:tab/>
        <w:tab/>
        <w:t xml:space="preserve">+++ asistencia a la audiencia de producción de prueba. </w:t>
      </w:r>
    </w:p>
    <w:p>
      <w:pPr>
        <w:pStyle w:val="style0"/>
      </w:pPr>
      <w:r>
        <w:rPr>
          <w:sz w:val="24"/>
          <w:szCs w:val="24"/>
        </w:rPr>
        <w:tab/>
        <w:tab/>
        <w:tab/>
        <w:t xml:space="preserve">+++ realización de una defensa escrita a la parte actora o demandada y conforme las directivas que se impartirán en cada caso , que deberá presentarse hasta el 20.6.2014. </w:t>
      </w:r>
    </w:p>
    <w:p>
      <w:pPr>
        <w:pStyle w:val="style0"/>
      </w:pPr>
      <w:r>
        <w:rPr>
          <w:sz w:val="24"/>
          <w:szCs w:val="24"/>
        </w:rPr>
        <w:tab/>
        <w:t xml:space="preserve">++ se calificará especialmente la participación del estudiante que complete la actividad entregando la defensa en término.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redeterminad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en-US" w:val="es-UY"/>
    </w:rPr>
  </w:style>
  <w:style w:styleId="style15" w:type="character">
    <w:name w:val="Default Paragraph Font"/>
    <w:next w:val="style15"/>
    <w:rPr/>
  </w:style>
  <w:style w:styleId="style16" w:type="paragraph">
    <w:name w:val="Encabezado"/>
    <w:basedOn w:val="style0"/>
    <w:next w:val="style17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17" w:type="paragraph">
    <w:name w:val="Cue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Etiquet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List Paragraph"/>
    <w:basedOn w:val="style0"/>
    <w:next w:val="style2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2014-03-11T08:30:00.00Z</dcterms:created>
  <dc:creator>Rosina</dc:creator>
  <cp:lastModifiedBy>Rosina</cp:lastModifiedBy>
  <dcterms:modified xsi:type="dcterms:W3CDTF">2014-03-11T08:48:00.00Z</dcterms:modified>
  <cp:revision>2</cp:revision>
</cp:coreProperties>
</file>